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23A23" w14:textId="77777777" w:rsidR="000E618B" w:rsidRDefault="000E618B" w:rsidP="00BF3AB3">
      <w:pPr>
        <w:pStyle w:val="Podstawowyakapit"/>
        <w:suppressAutoHyphens/>
        <w:spacing w:line="360" w:lineRule="auto"/>
        <w:jc w:val="center"/>
        <w:rPr>
          <w:rFonts w:ascii="Arial" w:hAnsi="Arial" w:cs="Arial"/>
          <w:b/>
          <w:bCs/>
          <w:color w:val="0041D2"/>
        </w:rPr>
      </w:pPr>
    </w:p>
    <w:p w14:paraId="32B1FE79" w14:textId="315684D2" w:rsidR="0011773C" w:rsidRPr="00824C95" w:rsidRDefault="00BF3AB3" w:rsidP="00BF3AB3">
      <w:pPr>
        <w:pStyle w:val="Podstawowyakapit"/>
        <w:suppressAutoHyphens/>
        <w:spacing w:line="360" w:lineRule="auto"/>
        <w:jc w:val="center"/>
        <w:rPr>
          <w:rFonts w:ascii="Arial" w:hAnsi="Arial" w:cs="Arial"/>
          <w:b/>
          <w:bCs/>
          <w:color w:val="0041D2"/>
        </w:rPr>
      </w:pPr>
      <w:r w:rsidRPr="00824C95">
        <w:rPr>
          <w:rFonts w:ascii="Arial" w:hAnsi="Arial" w:cs="Arial"/>
          <w:b/>
          <w:bCs/>
          <w:color w:val="0041D2"/>
        </w:rPr>
        <w:t>Centrum Transferu Technologii</w:t>
      </w:r>
      <w:r w:rsidR="007D5156" w:rsidRPr="00824C95">
        <w:rPr>
          <w:rFonts w:ascii="Arial" w:hAnsi="Arial" w:cs="Arial"/>
          <w:b/>
          <w:bCs/>
          <w:color w:val="0041D2"/>
        </w:rPr>
        <w:t xml:space="preserve"> </w:t>
      </w:r>
      <w:r w:rsidR="00824C95" w:rsidRPr="00824C95">
        <w:rPr>
          <w:rFonts w:ascii="Arial" w:hAnsi="Arial" w:cs="Arial"/>
          <w:b/>
          <w:bCs/>
          <w:color w:val="0041D2"/>
        </w:rPr>
        <w:t>Uniwersytetu Gdańskiego</w:t>
      </w:r>
      <w:r w:rsidR="007D5156" w:rsidRPr="00824C95">
        <w:rPr>
          <w:rFonts w:ascii="Arial" w:hAnsi="Arial" w:cs="Arial"/>
          <w:b/>
          <w:bCs/>
          <w:color w:val="0041D2"/>
        </w:rPr>
        <w:t xml:space="preserve">/ </w:t>
      </w:r>
    </w:p>
    <w:p w14:paraId="7C0BC116" w14:textId="52938C8C" w:rsidR="00BF3AB3" w:rsidRPr="007D5156" w:rsidRDefault="007D5156" w:rsidP="00BF3AB3">
      <w:pPr>
        <w:pStyle w:val="Podstawowyakapit"/>
        <w:suppressAutoHyphens/>
        <w:spacing w:line="360" w:lineRule="auto"/>
        <w:jc w:val="center"/>
        <w:rPr>
          <w:rFonts w:ascii="Arial" w:hAnsi="Arial" w:cs="Arial"/>
          <w:b/>
          <w:bCs/>
          <w:color w:val="0041D2"/>
          <w:lang w:val="en-GB"/>
        </w:rPr>
      </w:pPr>
      <w:r w:rsidRPr="007D5156">
        <w:rPr>
          <w:rFonts w:ascii="Arial" w:hAnsi="Arial" w:cs="Arial"/>
          <w:b/>
          <w:bCs/>
          <w:color w:val="0041D2"/>
          <w:lang w:val="en-GB"/>
        </w:rPr>
        <w:t>Technology Transfer Office</w:t>
      </w:r>
      <w:r w:rsidR="00824C95">
        <w:rPr>
          <w:rFonts w:ascii="Arial" w:hAnsi="Arial" w:cs="Arial"/>
          <w:b/>
          <w:bCs/>
          <w:color w:val="0041D2"/>
          <w:lang w:val="en-GB"/>
        </w:rPr>
        <w:t xml:space="preserve"> of the University of Gdańsk</w:t>
      </w:r>
    </w:p>
    <w:p w14:paraId="69FB5A35" w14:textId="77777777" w:rsidR="00BF3AB3" w:rsidRPr="007D5156" w:rsidRDefault="00BF3AB3" w:rsidP="00BF3AB3">
      <w:pPr>
        <w:pStyle w:val="Podstawowyakapit"/>
        <w:suppressAutoHyphens/>
        <w:spacing w:line="360" w:lineRule="auto"/>
        <w:jc w:val="center"/>
        <w:rPr>
          <w:rFonts w:ascii="Arial" w:hAnsi="Arial" w:cs="Arial"/>
          <w:b/>
          <w:bCs/>
          <w:color w:val="0041D2"/>
          <w:lang w:val="en-GB"/>
        </w:rPr>
      </w:pPr>
    </w:p>
    <w:p w14:paraId="5BDF9E85" w14:textId="000422E2" w:rsidR="0011773C" w:rsidRPr="00941B3D" w:rsidRDefault="00BF3AB3" w:rsidP="00C029D8">
      <w:pPr>
        <w:pStyle w:val="Podstawowyakapit"/>
        <w:suppressAutoHyphens/>
        <w:spacing w:line="276" w:lineRule="auto"/>
        <w:jc w:val="center"/>
        <w:rPr>
          <w:rFonts w:ascii="Arial" w:hAnsi="Arial" w:cs="Arial"/>
          <w:b/>
          <w:bCs/>
          <w:color w:val="0041D2"/>
          <w:sz w:val="22"/>
          <w:szCs w:val="22"/>
        </w:rPr>
      </w:pPr>
      <w:r w:rsidRPr="00941B3D">
        <w:rPr>
          <w:rFonts w:ascii="Arial" w:hAnsi="Arial" w:cs="Arial"/>
          <w:b/>
          <w:bCs/>
          <w:color w:val="0041D2"/>
          <w:sz w:val="20"/>
          <w:szCs w:val="20"/>
        </w:rPr>
        <w:t xml:space="preserve">Zaproszenie nr </w:t>
      </w:r>
      <w:r w:rsidR="003F69F1">
        <w:rPr>
          <w:rFonts w:ascii="Arial" w:hAnsi="Arial" w:cs="Arial"/>
          <w:b/>
          <w:bCs/>
          <w:color w:val="0041D2"/>
          <w:sz w:val="20"/>
          <w:szCs w:val="20"/>
        </w:rPr>
        <w:t>3</w:t>
      </w:r>
      <w:r w:rsidR="0096731A">
        <w:rPr>
          <w:rFonts w:ascii="Arial" w:hAnsi="Arial" w:cs="Arial"/>
          <w:b/>
          <w:bCs/>
          <w:color w:val="0041D2"/>
          <w:sz w:val="20"/>
          <w:szCs w:val="20"/>
        </w:rPr>
        <w:t>/CTT/UG/2021</w:t>
      </w:r>
      <w:r w:rsidRPr="00941B3D">
        <w:rPr>
          <w:rFonts w:ascii="Arial" w:hAnsi="Arial" w:cs="Arial"/>
          <w:b/>
          <w:bCs/>
          <w:color w:val="0041D2"/>
          <w:sz w:val="20"/>
          <w:szCs w:val="20"/>
        </w:rPr>
        <w:t xml:space="preserve"> do składania ofert na nabycie licencji</w:t>
      </w:r>
      <w:r w:rsidR="00C029D8" w:rsidRPr="00941B3D">
        <w:rPr>
          <w:rFonts w:ascii="Arial" w:hAnsi="Arial" w:cs="Arial"/>
          <w:b/>
          <w:bCs/>
          <w:color w:val="0041D2"/>
          <w:sz w:val="20"/>
          <w:szCs w:val="20"/>
        </w:rPr>
        <w:t xml:space="preserve"> / nabyci</w:t>
      </w:r>
      <w:r w:rsidR="00EC7E08">
        <w:rPr>
          <w:rFonts w:ascii="Arial" w:hAnsi="Arial" w:cs="Arial"/>
          <w:b/>
          <w:bCs/>
          <w:color w:val="0041D2"/>
          <w:sz w:val="20"/>
          <w:szCs w:val="20"/>
        </w:rPr>
        <w:t>e</w:t>
      </w:r>
      <w:r w:rsidR="00C029D8" w:rsidRPr="00941B3D">
        <w:rPr>
          <w:rFonts w:ascii="Arial" w:hAnsi="Arial" w:cs="Arial"/>
          <w:b/>
          <w:bCs/>
          <w:color w:val="0041D2"/>
          <w:sz w:val="20"/>
          <w:szCs w:val="20"/>
        </w:rPr>
        <w:t xml:space="preserve"> praw do technologii </w:t>
      </w:r>
      <w:r w:rsidRPr="00941B3D">
        <w:rPr>
          <w:rFonts w:ascii="Arial" w:hAnsi="Arial" w:cs="Arial"/>
          <w:b/>
          <w:bCs/>
          <w:color w:val="0041D2"/>
          <w:sz w:val="18"/>
          <w:szCs w:val="18"/>
        </w:rPr>
        <w:t xml:space="preserve">z dnia </w:t>
      </w:r>
      <w:r w:rsidR="00D81799">
        <w:rPr>
          <w:rFonts w:ascii="Arial" w:hAnsi="Arial" w:cs="Arial"/>
          <w:b/>
          <w:bCs/>
          <w:color w:val="0041D2"/>
          <w:sz w:val="18"/>
          <w:szCs w:val="18"/>
        </w:rPr>
        <w:t>16 listopada 2021</w:t>
      </w:r>
      <w:r w:rsidR="007D5156" w:rsidRPr="00941B3D">
        <w:rPr>
          <w:rFonts w:ascii="Arial" w:hAnsi="Arial" w:cs="Arial"/>
          <w:b/>
          <w:bCs/>
          <w:color w:val="0041D2"/>
          <w:sz w:val="22"/>
          <w:szCs w:val="22"/>
        </w:rPr>
        <w:t xml:space="preserve">/ </w:t>
      </w:r>
    </w:p>
    <w:p w14:paraId="43F6ACD8" w14:textId="5F35DE34" w:rsidR="00E22D3B" w:rsidRPr="0096731A" w:rsidRDefault="007D5156" w:rsidP="0011773C">
      <w:pPr>
        <w:pStyle w:val="Akapitzlist"/>
        <w:jc w:val="center"/>
        <w:rPr>
          <w:i/>
          <w:iCs/>
          <w:sz w:val="20"/>
          <w:szCs w:val="20"/>
          <w:lang w:val="en-GB"/>
        </w:rPr>
      </w:pPr>
      <w:r w:rsidRPr="0096731A">
        <w:rPr>
          <w:rFonts w:ascii="Arial" w:hAnsi="Arial" w:cs="Arial"/>
          <w:b/>
          <w:bCs/>
          <w:i/>
          <w:iCs/>
          <w:color w:val="0041D2"/>
          <w:sz w:val="20"/>
          <w:szCs w:val="20"/>
          <w:lang w:val="en-GB"/>
        </w:rPr>
        <w:t>Enquiry for a license purchase</w:t>
      </w:r>
      <w:r w:rsidR="00C029D8" w:rsidRPr="0096731A">
        <w:rPr>
          <w:rFonts w:ascii="Arial" w:hAnsi="Arial" w:cs="Arial"/>
          <w:b/>
          <w:bCs/>
          <w:i/>
          <w:iCs/>
          <w:color w:val="0041D2"/>
          <w:sz w:val="20"/>
          <w:szCs w:val="20"/>
          <w:lang w:val="en-GB"/>
        </w:rPr>
        <w:t xml:space="preserve"> / purchase of </w:t>
      </w:r>
      <w:r w:rsidR="00DD4CFD">
        <w:rPr>
          <w:rFonts w:ascii="Arial" w:hAnsi="Arial" w:cs="Arial"/>
          <w:b/>
          <w:bCs/>
          <w:i/>
          <w:iCs/>
          <w:color w:val="0041D2"/>
          <w:sz w:val="20"/>
          <w:szCs w:val="20"/>
          <w:lang w:val="en-GB"/>
        </w:rPr>
        <w:t xml:space="preserve">the </w:t>
      </w:r>
      <w:r w:rsidR="00C029D8" w:rsidRPr="0096731A">
        <w:rPr>
          <w:rFonts w:ascii="Arial" w:hAnsi="Arial" w:cs="Arial"/>
          <w:b/>
          <w:bCs/>
          <w:i/>
          <w:iCs/>
          <w:color w:val="0041D2"/>
          <w:sz w:val="20"/>
          <w:szCs w:val="20"/>
          <w:lang w:val="en-GB"/>
        </w:rPr>
        <w:t>technology rights</w:t>
      </w:r>
      <w:r w:rsidR="007C2B0A" w:rsidRPr="0096731A">
        <w:rPr>
          <w:rFonts w:ascii="Arial" w:hAnsi="Arial" w:cs="Arial"/>
          <w:b/>
          <w:bCs/>
          <w:i/>
          <w:iCs/>
          <w:color w:val="0041D2"/>
          <w:sz w:val="20"/>
          <w:szCs w:val="20"/>
          <w:lang w:val="en-GB"/>
        </w:rPr>
        <w:br/>
      </w:r>
      <w:r w:rsidR="00C029D8" w:rsidRPr="0096731A">
        <w:rPr>
          <w:rFonts w:ascii="Arial" w:hAnsi="Arial" w:cs="Arial"/>
          <w:b/>
          <w:bCs/>
          <w:i/>
          <w:iCs/>
          <w:color w:val="0041D2"/>
          <w:sz w:val="20"/>
          <w:szCs w:val="20"/>
          <w:lang w:val="en-GB"/>
        </w:rPr>
        <w:t>N</w:t>
      </w:r>
      <w:r w:rsidRPr="0096731A">
        <w:rPr>
          <w:rFonts w:ascii="Arial" w:hAnsi="Arial" w:cs="Arial"/>
          <w:b/>
          <w:bCs/>
          <w:i/>
          <w:iCs/>
          <w:color w:val="0041D2"/>
          <w:sz w:val="20"/>
          <w:szCs w:val="20"/>
          <w:lang w:val="en-GB"/>
        </w:rPr>
        <w:t xml:space="preserve">o. </w:t>
      </w:r>
      <w:r w:rsidR="003F69F1">
        <w:rPr>
          <w:rFonts w:ascii="Arial" w:hAnsi="Arial" w:cs="Arial"/>
          <w:b/>
          <w:bCs/>
          <w:i/>
          <w:iCs/>
          <w:color w:val="0041D2"/>
          <w:sz w:val="20"/>
          <w:szCs w:val="20"/>
          <w:lang w:val="en-GB"/>
        </w:rPr>
        <w:t>3</w:t>
      </w:r>
      <w:r w:rsidR="0096731A" w:rsidRPr="0096731A">
        <w:rPr>
          <w:rFonts w:ascii="Arial" w:hAnsi="Arial" w:cs="Arial"/>
          <w:b/>
          <w:bCs/>
          <w:i/>
          <w:iCs/>
          <w:color w:val="0041D2"/>
          <w:sz w:val="20"/>
          <w:szCs w:val="20"/>
          <w:lang w:val="en-GB"/>
        </w:rPr>
        <w:t>/CTT/UG/2021</w:t>
      </w:r>
      <w:r w:rsidRPr="0096731A">
        <w:rPr>
          <w:rFonts w:ascii="Arial" w:hAnsi="Arial" w:cs="Arial"/>
          <w:b/>
          <w:bCs/>
          <w:i/>
          <w:iCs/>
          <w:color w:val="0041D2"/>
          <w:sz w:val="20"/>
          <w:szCs w:val="20"/>
          <w:lang w:val="en-GB"/>
        </w:rPr>
        <w:t xml:space="preserve"> dated</w:t>
      </w:r>
      <w:r w:rsidR="00D81799">
        <w:rPr>
          <w:rFonts w:ascii="Arial" w:hAnsi="Arial" w:cs="Arial"/>
          <w:b/>
          <w:bCs/>
          <w:i/>
          <w:iCs/>
          <w:color w:val="0041D2"/>
          <w:sz w:val="20"/>
          <w:szCs w:val="20"/>
          <w:lang w:val="en-GB"/>
        </w:rPr>
        <w:t xml:space="preserve"> November 16, 2021</w:t>
      </w:r>
    </w:p>
    <w:p w14:paraId="2D3CF7BC" w14:textId="2E8FCA7D" w:rsidR="00A9256F" w:rsidRPr="00941B3D" w:rsidRDefault="00A9256F" w:rsidP="0011773C">
      <w:pPr>
        <w:pStyle w:val="Akapitzlist"/>
        <w:pBdr>
          <w:bottom w:val="single" w:sz="12" w:space="1" w:color="auto"/>
        </w:pBdr>
        <w:ind w:left="0"/>
        <w:rPr>
          <w:sz w:val="20"/>
          <w:szCs w:val="20"/>
          <w:lang w:val="en-GB"/>
        </w:rPr>
      </w:pPr>
    </w:p>
    <w:p w14:paraId="30467512" w14:textId="77777777" w:rsidR="0011773C" w:rsidRPr="007D5156" w:rsidRDefault="0011773C" w:rsidP="0011773C">
      <w:pPr>
        <w:pStyle w:val="Akapitzlist"/>
        <w:ind w:left="0"/>
        <w:rPr>
          <w:lang w:val="en-GB"/>
        </w:rPr>
      </w:pPr>
    </w:p>
    <w:p w14:paraId="16C399C1" w14:textId="0CFA3821" w:rsidR="00A9256F" w:rsidRPr="007263D6" w:rsidRDefault="00A9256F" w:rsidP="00BF3AB3">
      <w:pPr>
        <w:pStyle w:val="Akapitzlist"/>
        <w:numPr>
          <w:ilvl w:val="0"/>
          <w:numId w:val="2"/>
        </w:numPr>
        <w:ind w:left="709" w:hanging="425"/>
        <w:rPr>
          <w:b/>
          <w:bCs/>
          <w:i/>
          <w:iCs/>
        </w:rPr>
      </w:pPr>
      <w:r w:rsidRPr="007263D6">
        <w:rPr>
          <w:b/>
          <w:bCs/>
        </w:rPr>
        <w:t xml:space="preserve">PODMIOT OGŁASZAJĄCY / </w:t>
      </w:r>
      <w:r w:rsidRPr="007263D6">
        <w:rPr>
          <w:b/>
          <w:bCs/>
          <w:i/>
          <w:iCs/>
        </w:rPr>
        <w:t>AWARDING ENTITY</w:t>
      </w:r>
    </w:p>
    <w:p w14:paraId="75758B3D" w14:textId="77777777" w:rsidR="00A9256F" w:rsidRDefault="00A9256F" w:rsidP="00BF3AB3">
      <w:pPr>
        <w:spacing w:after="0" w:line="240" w:lineRule="auto"/>
      </w:pPr>
      <w:r>
        <w:t>Uniwersytet Gdański</w:t>
      </w:r>
    </w:p>
    <w:p w14:paraId="396BA310" w14:textId="77777777" w:rsidR="00A9256F" w:rsidRDefault="00A9256F" w:rsidP="00BF3AB3">
      <w:pPr>
        <w:spacing w:after="0" w:line="240" w:lineRule="auto"/>
      </w:pPr>
      <w:r>
        <w:t>Ul. Bażyńskiego 8</w:t>
      </w:r>
    </w:p>
    <w:p w14:paraId="715B790C" w14:textId="77777777" w:rsidR="00A9256F" w:rsidRDefault="00A9256F" w:rsidP="00BF3AB3">
      <w:pPr>
        <w:spacing w:after="0" w:line="240" w:lineRule="auto"/>
      </w:pPr>
      <w:r>
        <w:t>80-309 Gdańsk</w:t>
      </w:r>
    </w:p>
    <w:p w14:paraId="5D3FB233" w14:textId="77777777" w:rsidR="00A9256F" w:rsidRDefault="00A9256F" w:rsidP="00BF3AB3">
      <w:pPr>
        <w:spacing w:after="0" w:line="240" w:lineRule="auto"/>
      </w:pPr>
      <w:r>
        <w:t>NIP: 584-020-32-39</w:t>
      </w:r>
    </w:p>
    <w:p w14:paraId="7647F12C" w14:textId="5DB1CC97" w:rsidR="00A9256F" w:rsidRDefault="00A9256F" w:rsidP="00BF3AB3">
      <w:pPr>
        <w:spacing w:after="0" w:line="240" w:lineRule="auto"/>
      </w:pPr>
      <w:r>
        <w:t>REGON: 000001330</w:t>
      </w:r>
    </w:p>
    <w:p w14:paraId="0902B378" w14:textId="47ABCAAD" w:rsidR="00A9256F" w:rsidRDefault="00A9256F" w:rsidP="00A9256F">
      <w:pPr>
        <w:spacing w:after="0"/>
      </w:pPr>
    </w:p>
    <w:p w14:paraId="248B1EA6" w14:textId="6E51FC7E" w:rsidR="00A9256F" w:rsidRPr="007263D6" w:rsidRDefault="00A9256F" w:rsidP="00BF3AB3">
      <w:pPr>
        <w:pStyle w:val="Akapitzlist"/>
        <w:numPr>
          <w:ilvl w:val="0"/>
          <w:numId w:val="2"/>
        </w:numPr>
        <w:ind w:left="709" w:hanging="425"/>
        <w:rPr>
          <w:b/>
          <w:bCs/>
          <w:i/>
          <w:iCs/>
        </w:rPr>
      </w:pPr>
      <w:r w:rsidRPr="007263D6">
        <w:rPr>
          <w:b/>
          <w:bCs/>
        </w:rPr>
        <w:t xml:space="preserve">TECHNOLOGIA BĘDĄCA PRZEDMIOTEM ZAPROSZENIA / </w:t>
      </w:r>
      <w:r w:rsidRPr="007263D6">
        <w:rPr>
          <w:b/>
          <w:bCs/>
          <w:i/>
          <w:iCs/>
        </w:rPr>
        <w:t>SUBJECT OF THE ENQUIRY</w:t>
      </w:r>
    </w:p>
    <w:p w14:paraId="5A507039" w14:textId="1577E006" w:rsidR="00DC7C09" w:rsidRPr="00A654D2" w:rsidRDefault="00686671" w:rsidP="00DC7C09">
      <w:pPr>
        <w:rPr>
          <w:i/>
          <w:iCs/>
        </w:rPr>
      </w:pPr>
      <w:r w:rsidRPr="00374E86">
        <w:rPr>
          <w:rFonts w:ascii="Arial" w:eastAsia="Calibri" w:hAnsi="Arial" w:cs="Arial"/>
          <w:sz w:val="20"/>
          <w:szCs w:val="20"/>
        </w:rPr>
        <w:t>KWANTOWY GENERATOR LICZB LOSOWYCH</w:t>
      </w:r>
      <w:r>
        <w:rPr>
          <w:rFonts w:ascii="Arial" w:eastAsia="Calibri" w:hAnsi="Arial" w:cs="Arial"/>
          <w:sz w:val="20"/>
          <w:szCs w:val="20"/>
        </w:rPr>
        <w:t xml:space="preserve"> / </w:t>
      </w:r>
      <w:r w:rsidR="00037BB2" w:rsidRPr="00A654D2">
        <w:rPr>
          <w:rFonts w:ascii="Arial" w:eastAsia="Calibri" w:hAnsi="Arial" w:cs="Arial"/>
          <w:i/>
          <w:iCs/>
          <w:sz w:val="20"/>
          <w:szCs w:val="20"/>
        </w:rPr>
        <w:t>QUANTUM RANDOM NUMBERS GENERATOR</w:t>
      </w:r>
    </w:p>
    <w:p w14:paraId="6583048A" w14:textId="7F3E28E3" w:rsidR="00DC7C09" w:rsidRPr="007263D6" w:rsidRDefault="003B22BE" w:rsidP="00BF3AB3">
      <w:pPr>
        <w:pStyle w:val="Akapitzlist"/>
        <w:numPr>
          <w:ilvl w:val="0"/>
          <w:numId w:val="2"/>
        </w:numPr>
        <w:ind w:left="709" w:hanging="425"/>
        <w:rPr>
          <w:b/>
          <w:bCs/>
          <w:i/>
          <w:iCs/>
        </w:rPr>
      </w:pPr>
      <w:r w:rsidRPr="007263D6">
        <w:rPr>
          <w:b/>
          <w:bCs/>
        </w:rPr>
        <w:t xml:space="preserve">OPIS TECHNOLOGII / </w:t>
      </w:r>
      <w:r w:rsidR="00CD29EF" w:rsidRPr="007263D6">
        <w:rPr>
          <w:b/>
          <w:bCs/>
          <w:i/>
          <w:iCs/>
        </w:rPr>
        <w:t>TECHNOLOGY DESCRIPTION</w:t>
      </w:r>
    </w:p>
    <w:p w14:paraId="515F9F59" w14:textId="77777777" w:rsidR="00F336CF" w:rsidRPr="00F336CF" w:rsidRDefault="00F336CF" w:rsidP="00537295">
      <w:pPr>
        <w:spacing w:after="0" w:line="240" w:lineRule="auto"/>
        <w:jc w:val="both"/>
      </w:pPr>
      <w:r w:rsidRPr="00F336CF">
        <w:t xml:space="preserve">Prezentowany wynalazek dotyczy sposobu i urządzenia do kwantowego generowania liczb losowych. Standardowa miara jakości generowanej losowości nazywana jest min-entropią i jest związana z prawdopodobieństwem odgadnięcia wygenerowanego ciągu przed jego ogłoszeniem. Dobry generator liczb losowych powinien być w stanie wytworzyć ciąg bitów o wysokiej entropii z dużą szybkością. Celem proponowanej technologii jest dostarczenie generatora i metod umożliwiających generowanie nieprzewidywalnego ciągu liczb z dużymi szybkościami, charakteryzujących się wysoką entropią, które mogą być </w:t>
      </w:r>
      <w:proofErr w:type="spellStart"/>
      <w:r w:rsidRPr="00F336CF">
        <w:t>samotestowane</w:t>
      </w:r>
      <w:proofErr w:type="spellEnd"/>
      <w:r w:rsidRPr="00F336CF">
        <w:t xml:space="preserve"> w czasie rzeczywistym.</w:t>
      </w:r>
    </w:p>
    <w:p w14:paraId="5C710693" w14:textId="77777777" w:rsidR="00F336CF" w:rsidRPr="00F336CF" w:rsidRDefault="00F336CF" w:rsidP="00537295">
      <w:pPr>
        <w:spacing w:after="0" w:line="240" w:lineRule="auto"/>
        <w:jc w:val="both"/>
      </w:pPr>
      <w:r w:rsidRPr="00F336CF">
        <w:t xml:space="preserve">Urządzenie do generatora liczb kwantowych składa się z: interferometru, jednostki sterującej podłączonej do źródła sygnału, elementów modyfikujących właściwości sygnału oraz detektorów do pomiaru natężenia sygnału za pomocą przewodów elektrycznych. Detektory są skonfigurowane tak, aby mierzyć natężenie sygnału i przesyłać wyniki pomiarów przewodami elektrycznymi do jednostki sterującej. Jednostka sterująca wykonuje </w:t>
      </w:r>
      <w:proofErr w:type="spellStart"/>
      <w:r w:rsidRPr="00F336CF">
        <w:t>autotest</w:t>
      </w:r>
      <w:proofErr w:type="spellEnd"/>
      <w:r w:rsidRPr="00F336CF">
        <w:t xml:space="preserve"> na podstawie wyników pomiaru i zwraca jego wynik. Urządzenie wyróżnia się na tle innych kwantowych generatorów liczb losowych tym, że może dokonywać </w:t>
      </w:r>
      <w:proofErr w:type="spellStart"/>
      <w:r w:rsidRPr="00F336CF">
        <w:t>samotestowania</w:t>
      </w:r>
      <w:proofErr w:type="spellEnd"/>
      <w:r w:rsidRPr="00F336CF">
        <w:t>.</w:t>
      </w:r>
    </w:p>
    <w:p w14:paraId="0EB39151" w14:textId="6BF31C8F" w:rsidR="00CD29EF" w:rsidRDefault="00F336CF" w:rsidP="003C1F3A">
      <w:pPr>
        <w:spacing w:line="240" w:lineRule="auto"/>
        <w:jc w:val="both"/>
      </w:pPr>
      <w:r w:rsidRPr="00F336CF">
        <w:t>Wynalazek może znaleźć zastosowanie w generowaniu liczb losowych w wielu branżach</w:t>
      </w:r>
      <w:r w:rsidR="000061EC">
        <w:t xml:space="preserve"> takich jak</w:t>
      </w:r>
      <w:r w:rsidRPr="00F336CF">
        <w:t xml:space="preserve">: telekomunikacja, bankowość, centra danych, rynek finansowy, dystrybucja energii, telekomunikacja, zarządzanie przemysłem, administracja publiczna, kontrola ruchu lotniczego, samochód autonomiczny, </w:t>
      </w:r>
      <w:proofErr w:type="spellStart"/>
      <w:r w:rsidRPr="00F336CF">
        <w:t>platooning</w:t>
      </w:r>
      <w:proofErr w:type="spellEnd"/>
      <w:r w:rsidRPr="00F336CF">
        <w:t xml:space="preserve">, AI &amp; </w:t>
      </w:r>
      <w:proofErr w:type="spellStart"/>
      <w:r w:rsidRPr="00F336CF">
        <w:t>machine</w:t>
      </w:r>
      <w:proofErr w:type="spellEnd"/>
      <w:r w:rsidRPr="00F336CF">
        <w:t xml:space="preserve"> learning, kryptografia kwantowa, </w:t>
      </w:r>
      <w:proofErr w:type="spellStart"/>
      <w:r w:rsidRPr="00F336CF">
        <w:t>blockchain</w:t>
      </w:r>
      <w:proofErr w:type="spellEnd"/>
      <w:r w:rsidRPr="00F336CF">
        <w:t xml:space="preserve">, smart </w:t>
      </w:r>
      <w:proofErr w:type="spellStart"/>
      <w:r w:rsidRPr="00F336CF">
        <w:t>city</w:t>
      </w:r>
      <w:proofErr w:type="spellEnd"/>
      <w:r w:rsidRPr="00F336CF">
        <w:t xml:space="preserve"> oraz loterie i gry</w:t>
      </w:r>
      <w:r>
        <w:t>.</w:t>
      </w:r>
    </w:p>
    <w:p w14:paraId="039D41AE" w14:textId="63ED72D1" w:rsidR="00EB363C" w:rsidRPr="0009216F" w:rsidRDefault="00EB363C" w:rsidP="007E7586">
      <w:pPr>
        <w:tabs>
          <w:tab w:val="center" w:pos="360"/>
          <w:tab w:val="left" w:pos="7230"/>
          <w:tab w:val="right" w:pos="10404"/>
        </w:tabs>
        <w:spacing w:after="0" w:line="240" w:lineRule="auto"/>
        <w:jc w:val="both"/>
        <w:rPr>
          <w:rFonts w:ascii="Arial" w:hAnsi="Arial" w:cs="Arial"/>
          <w:i/>
          <w:iCs/>
          <w:sz w:val="20"/>
          <w:szCs w:val="20"/>
          <w:lang w:val="en-GB"/>
        </w:rPr>
      </w:pPr>
      <w:r w:rsidRPr="0009216F">
        <w:rPr>
          <w:rFonts w:ascii="Arial" w:hAnsi="Arial" w:cs="Arial"/>
          <w:i/>
          <w:iCs/>
          <w:sz w:val="20"/>
          <w:szCs w:val="20"/>
          <w:lang w:val="en-US"/>
        </w:rPr>
        <w:t>The presented invention relates to a method and device for the quantum generation of random numbers. The standard measure of the quality of randomness generated is called min-entropy and is related to the probability of guessing a number</w:t>
      </w:r>
      <w:r w:rsidR="005C4E28">
        <w:rPr>
          <w:rFonts w:ascii="Arial" w:hAnsi="Arial" w:cs="Arial"/>
          <w:i/>
          <w:iCs/>
          <w:sz w:val="20"/>
          <w:szCs w:val="20"/>
          <w:lang w:val="en-US"/>
        </w:rPr>
        <w:t xml:space="preserve"> </w:t>
      </w:r>
      <w:r w:rsidRPr="0009216F">
        <w:rPr>
          <w:rFonts w:ascii="Arial" w:hAnsi="Arial" w:cs="Arial"/>
          <w:i/>
          <w:iCs/>
          <w:sz w:val="20"/>
          <w:szCs w:val="20"/>
          <w:lang w:val="en-US"/>
        </w:rPr>
        <w:t xml:space="preserve">of the sequence generated before it is announced. </w:t>
      </w:r>
      <w:r w:rsidRPr="0009216F">
        <w:rPr>
          <w:rFonts w:ascii="Arial" w:hAnsi="Arial" w:cs="Arial"/>
          <w:i/>
          <w:iCs/>
          <w:sz w:val="20"/>
          <w:szCs w:val="20"/>
          <w:lang w:val="en-GB"/>
        </w:rPr>
        <w:br/>
      </w:r>
      <w:r w:rsidRPr="0009216F">
        <w:rPr>
          <w:rFonts w:ascii="Arial" w:hAnsi="Arial" w:cs="Arial"/>
          <w:i/>
          <w:iCs/>
          <w:sz w:val="20"/>
          <w:szCs w:val="20"/>
          <w:lang w:val="en-US"/>
        </w:rPr>
        <w:t xml:space="preserve">A good random number generator should be able to produce a bit string with a high entropy at a high </w:t>
      </w:r>
      <w:r w:rsidRPr="0009216F">
        <w:rPr>
          <w:rFonts w:ascii="Arial" w:hAnsi="Arial" w:cs="Arial"/>
          <w:i/>
          <w:iCs/>
          <w:sz w:val="20"/>
          <w:szCs w:val="20"/>
          <w:lang w:val="en-US"/>
        </w:rPr>
        <w:lastRenderedPageBreak/>
        <w:t xml:space="preserve">rate. The goal of the proposed technology is to provide the generator and methods that enable to generate unpredictable string of numbers at high rates, characterized by high entropy which can be self-tested in real time. </w:t>
      </w:r>
    </w:p>
    <w:p w14:paraId="42ED5D18" w14:textId="77777777" w:rsidR="00EB363C" w:rsidRPr="0009216F" w:rsidRDefault="00EB363C" w:rsidP="007E7586">
      <w:pPr>
        <w:tabs>
          <w:tab w:val="center" w:pos="360"/>
          <w:tab w:val="left" w:pos="7230"/>
          <w:tab w:val="right" w:pos="10404"/>
        </w:tabs>
        <w:spacing w:after="0" w:line="240" w:lineRule="auto"/>
        <w:jc w:val="both"/>
        <w:rPr>
          <w:rFonts w:ascii="Arial" w:hAnsi="Arial" w:cs="Arial"/>
          <w:i/>
          <w:iCs/>
          <w:sz w:val="20"/>
          <w:szCs w:val="20"/>
          <w:lang w:val="en-GB"/>
        </w:rPr>
      </w:pPr>
      <w:r w:rsidRPr="0009216F">
        <w:rPr>
          <w:rFonts w:ascii="Arial" w:hAnsi="Arial" w:cs="Arial"/>
          <w:i/>
          <w:iCs/>
          <w:sz w:val="20"/>
          <w:szCs w:val="20"/>
          <w:lang w:val="en-US"/>
        </w:rPr>
        <w:t>The device for a quantum number generator comprises</w:t>
      </w:r>
      <w:r w:rsidRPr="0009216F">
        <w:rPr>
          <w:rFonts w:ascii="Arial" w:hAnsi="Arial" w:cs="Arial"/>
          <w:i/>
          <w:iCs/>
          <w:sz w:val="20"/>
          <w:szCs w:val="20"/>
          <w:lang w:val="en-GB"/>
        </w:rPr>
        <w:t xml:space="preserve"> </w:t>
      </w:r>
      <w:r w:rsidRPr="00EB363C">
        <w:rPr>
          <w:rFonts w:ascii="Arial" w:hAnsi="Arial" w:cs="Arial"/>
          <w:i/>
          <w:iCs/>
          <w:sz w:val="20"/>
          <w:szCs w:val="20"/>
          <w:lang w:val="en-GB"/>
        </w:rPr>
        <w:t>of</w:t>
      </w:r>
      <w:r w:rsidRPr="0009216F">
        <w:rPr>
          <w:rFonts w:ascii="Arial" w:hAnsi="Arial" w:cs="Arial"/>
          <w:i/>
          <w:iCs/>
          <w:sz w:val="20"/>
          <w:szCs w:val="20"/>
          <w:lang w:val="en-US"/>
        </w:rPr>
        <w:t xml:space="preserve"> interferometer, a control unit connected to the signal source, the signal is with interference property, components, that modify the signal’s properties, and detectors for measuring the signal’s intensity by electrical wires. Detectors are configured to measure signal intensity and send the measurement results via electrical wires to the control unit. The control unit performs a self-test based on the measurement results and returns the result of self-test. The device is distinguished from other quantum random number generators by the fact that it can perform self-testing.</w:t>
      </w:r>
    </w:p>
    <w:p w14:paraId="5BC62DD6" w14:textId="038E6B0F" w:rsidR="00CD29EF" w:rsidRPr="00EB363C" w:rsidRDefault="00EB363C" w:rsidP="00366839">
      <w:pPr>
        <w:spacing w:line="240" w:lineRule="auto"/>
        <w:jc w:val="both"/>
        <w:rPr>
          <w:i/>
          <w:iCs/>
          <w:lang w:val="en-GB"/>
        </w:rPr>
      </w:pPr>
      <w:r w:rsidRPr="00EB363C">
        <w:rPr>
          <w:rFonts w:ascii="Arial" w:hAnsi="Arial" w:cs="Arial"/>
          <w:i/>
          <w:iCs/>
          <w:sz w:val="20"/>
          <w:szCs w:val="20"/>
          <w:lang w:val="en-US"/>
        </w:rPr>
        <w:t xml:space="preserve">The invention can be implemented in generation of random numbers in many branches: </w:t>
      </w:r>
      <w:proofErr w:type="spellStart"/>
      <w:r w:rsidRPr="00EB363C">
        <w:rPr>
          <w:rFonts w:ascii="Arial" w:hAnsi="Arial" w:cs="Arial"/>
          <w:i/>
          <w:iCs/>
          <w:sz w:val="20"/>
          <w:szCs w:val="20"/>
          <w:lang w:val="en-US"/>
        </w:rPr>
        <w:t>telecommu</w:t>
      </w:r>
      <w:r w:rsidRPr="00EB363C">
        <w:rPr>
          <w:rFonts w:ascii="Arial" w:hAnsi="Arial" w:cs="Arial"/>
          <w:i/>
          <w:iCs/>
          <w:sz w:val="20"/>
          <w:szCs w:val="20"/>
          <w:lang w:val="en-GB"/>
        </w:rPr>
        <w:t>ni</w:t>
      </w:r>
      <w:proofErr w:type="spellEnd"/>
      <w:r w:rsidRPr="00EB363C">
        <w:rPr>
          <w:rFonts w:ascii="Arial" w:hAnsi="Arial" w:cs="Arial"/>
          <w:i/>
          <w:iCs/>
          <w:sz w:val="20"/>
          <w:szCs w:val="20"/>
          <w:lang w:val="en-US"/>
        </w:rPr>
        <w:t xml:space="preserve">cation, banking, data centers, financial market, power distribution, telecom, industry management, public administration, air traffic control, autonomous car, platooning, </w:t>
      </w:r>
      <w:r w:rsidRPr="00EB363C">
        <w:rPr>
          <w:rFonts w:ascii="Arial" w:hAnsi="Arial" w:cs="Arial"/>
          <w:i/>
          <w:iCs/>
          <w:sz w:val="20"/>
          <w:szCs w:val="20"/>
          <w:lang w:val="en-GB"/>
        </w:rPr>
        <w:t>AI</w:t>
      </w:r>
      <w:r w:rsidRPr="00EB363C">
        <w:rPr>
          <w:rFonts w:ascii="Arial" w:hAnsi="Arial" w:cs="Arial"/>
          <w:i/>
          <w:iCs/>
          <w:sz w:val="20"/>
          <w:szCs w:val="20"/>
          <w:lang w:val="en-US"/>
        </w:rPr>
        <w:t xml:space="preserve"> &amp; machine learning, cryptography, blockchain, smart city</w:t>
      </w:r>
      <w:r w:rsidR="00940884">
        <w:rPr>
          <w:rFonts w:ascii="Arial" w:hAnsi="Arial" w:cs="Arial"/>
          <w:i/>
          <w:iCs/>
          <w:sz w:val="20"/>
          <w:szCs w:val="20"/>
          <w:lang w:val="en-US"/>
        </w:rPr>
        <w:t>,</w:t>
      </w:r>
      <w:r w:rsidRPr="00EB363C">
        <w:rPr>
          <w:rFonts w:ascii="Arial" w:hAnsi="Arial" w:cs="Arial"/>
          <w:i/>
          <w:iCs/>
          <w:sz w:val="20"/>
          <w:szCs w:val="20"/>
          <w:lang w:val="en-US"/>
        </w:rPr>
        <w:t xml:space="preserve"> and lotteries and gaming.</w:t>
      </w:r>
    </w:p>
    <w:p w14:paraId="2E699338" w14:textId="33D1B9D6" w:rsidR="00CD29EF" w:rsidRPr="001531BF" w:rsidRDefault="00D44001" w:rsidP="00BF3AB3">
      <w:pPr>
        <w:pStyle w:val="Akapitzlist"/>
        <w:numPr>
          <w:ilvl w:val="0"/>
          <w:numId w:val="2"/>
        </w:numPr>
        <w:ind w:left="709" w:hanging="425"/>
        <w:rPr>
          <w:b/>
          <w:bCs/>
          <w:lang w:val="en-GB"/>
        </w:rPr>
      </w:pPr>
      <w:r w:rsidRPr="00A654D2">
        <w:rPr>
          <w:lang w:val="en-GB"/>
        </w:rPr>
        <w:t xml:space="preserve"> </w:t>
      </w:r>
      <w:r w:rsidR="00024D1F" w:rsidRPr="001531BF">
        <w:rPr>
          <w:b/>
          <w:bCs/>
          <w:lang w:val="en-GB"/>
        </w:rPr>
        <w:t xml:space="preserve">OCHRONA PRAWNA TECHNOLOGII </w:t>
      </w:r>
      <w:r w:rsidRPr="001531BF">
        <w:rPr>
          <w:b/>
          <w:bCs/>
          <w:lang w:val="en-GB"/>
        </w:rPr>
        <w:t xml:space="preserve">/ </w:t>
      </w:r>
      <w:r w:rsidRPr="0046740A">
        <w:rPr>
          <w:b/>
          <w:bCs/>
          <w:i/>
          <w:iCs/>
          <w:lang w:val="en-GB"/>
        </w:rPr>
        <w:t>LEGAL PROTECTION OF TECHNOLOGY</w:t>
      </w:r>
    </w:p>
    <w:p w14:paraId="42AFEA7F" w14:textId="0BFA2D94" w:rsidR="0039646E" w:rsidRPr="0039646E" w:rsidRDefault="0039646E" w:rsidP="006F0324">
      <w:pPr>
        <w:spacing w:after="0" w:line="240" w:lineRule="auto"/>
        <w:jc w:val="both"/>
      </w:pPr>
      <w:r w:rsidRPr="0039646E">
        <w:t xml:space="preserve">Proponowana technologia objęta jest ochroną patentową – zgłoszenie międzynarodowe </w:t>
      </w:r>
      <w:r w:rsidR="009E2129">
        <w:br/>
      </w:r>
      <w:r w:rsidRPr="0039646E">
        <w:t>nr PCT/PL2020/050032</w:t>
      </w:r>
      <w:r>
        <w:t>.</w:t>
      </w:r>
    </w:p>
    <w:p w14:paraId="0D00BCAE" w14:textId="63173286" w:rsidR="0039646E" w:rsidRDefault="0039646E" w:rsidP="006F0324">
      <w:pPr>
        <w:spacing w:after="0" w:line="240" w:lineRule="auto"/>
        <w:jc w:val="both"/>
      </w:pPr>
      <w:r w:rsidRPr="0039646E">
        <w:t>Właścicielem technologii zgodnie z zawartą Umową o współwłasności wynalazku jest w 50% UNIWERSYTET GDAŃSKI, a w pozostałych 50% UNIVERSIDAD DE CONCEPCIÓN z Chile</w:t>
      </w:r>
    </w:p>
    <w:p w14:paraId="69F9B757" w14:textId="7C348845" w:rsidR="0039646E" w:rsidRPr="0039646E" w:rsidRDefault="0039646E" w:rsidP="006F0324">
      <w:pPr>
        <w:spacing w:before="240" w:after="0" w:line="240" w:lineRule="auto"/>
        <w:jc w:val="both"/>
        <w:rPr>
          <w:i/>
          <w:iCs/>
          <w:lang w:val="en-GB"/>
        </w:rPr>
      </w:pPr>
      <w:r w:rsidRPr="0039646E">
        <w:rPr>
          <w:i/>
          <w:iCs/>
          <w:lang w:val="en-GB"/>
        </w:rPr>
        <w:t xml:space="preserve">The proposed technology is under protection </w:t>
      </w:r>
      <w:r w:rsidR="00B91765">
        <w:rPr>
          <w:i/>
          <w:iCs/>
          <w:lang w:val="en-GB"/>
        </w:rPr>
        <w:t>–</w:t>
      </w:r>
      <w:r w:rsidRPr="0039646E">
        <w:rPr>
          <w:i/>
          <w:iCs/>
          <w:lang w:val="en-GB"/>
        </w:rPr>
        <w:t xml:space="preserve"> </w:t>
      </w:r>
      <w:r w:rsidR="00B91765">
        <w:rPr>
          <w:i/>
          <w:iCs/>
          <w:lang w:val="en-GB"/>
        </w:rPr>
        <w:t xml:space="preserve">an </w:t>
      </w:r>
      <w:r w:rsidRPr="0039646E">
        <w:rPr>
          <w:i/>
          <w:iCs/>
          <w:lang w:val="en-GB"/>
        </w:rPr>
        <w:t xml:space="preserve">international </w:t>
      </w:r>
      <w:r w:rsidR="00B91765">
        <w:rPr>
          <w:i/>
          <w:iCs/>
          <w:lang w:val="en-GB"/>
        </w:rPr>
        <w:t xml:space="preserve">patent </w:t>
      </w:r>
      <w:r w:rsidRPr="0039646E">
        <w:rPr>
          <w:i/>
          <w:iCs/>
          <w:lang w:val="en-GB"/>
        </w:rPr>
        <w:t xml:space="preserve">application </w:t>
      </w:r>
      <w:r w:rsidR="009A190C">
        <w:rPr>
          <w:i/>
          <w:iCs/>
          <w:lang w:val="en-GB"/>
        </w:rPr>
        <w:br/>
      </w:r>
      <w:r w:rsidRPr="0039646E">
        <w:rPr>
          <w:i/>
          <w:iCs/>
          <w:lang w:val="en-GB"/>
        </w:rPr>
        <w:t>No. PCT/PL2020/050032.</w:t>
      </w:r>
    </w:p>
    <w:p w14:paraId="36BA44F5" w14:textId="7135EEB9" w:rsidR="0039646E" w:rsidRDefault="0039646E" w:rsidP="006F0324">
      <w:pPr>
        <w:spacing w:after="0" w:line="240" w:lineRule="auto"/>
        <w:jc w:val="both"/>
        <w:rPr>
          <w:i/>
          <w:iCs/>
          <w:lang w:val="en-GB"/>
        </w:rPr>
      </w:pPr>
      <w:r w:rsidRPr="0039646E">
        <w:rPr>
          <w:i/>
          <w:iCs/>
          <w:lang w:val="en-GB"/>
        </w:rPr>
        <w:t>According to the concluded Co-ownership Agreement to the invention, the Co-owners of the technology are: the UNIVERSITY OF GDAŃSK in 50% and the UNIVERSIDAD DE CONCEPCIÓN of Chile in 50%.</w:t>
      </w:r>
    </w:p>
    <w:p w14:paraId="3D1414F6" w14:textId="4674EE9E" w:rsidR="00605CE1" w:rsidRDefault="00605CE1" w:rsidP="0039646E">
      <w:pPr>
        <w:spacing w:after="0"/>
        <w:rPr>
          <w:i/>
          <w:iCs/>
          <w:lang w:val="en-GB"/>
        </w:rPr>
      </w:pPr>
    </w:p>
    <w:p w14:paraId="0EF307A8" w14:textId="3F226EB3" w:rsidR="00605CE1" w:rsidRPr="001531BF" w:rsidRDefault="00605CE1" w:rsidP="00BF3AB3">
      <w:pPr>
        <w:pStyle w:val="Akapitzlist"/>
        <w:numPr>
          <w:ilvl w:val="0"/>
          <w:numId w:val="2"/>
        </w:numPr>
        <w:ind w:left="709" w:hanging="425"/>
        <w:rPr>
          <w:b/>
          <w:bCs/>
        </w:rPr>
      </w:pPr>
      <w:r w:rsidRPr="001531BF">
        <w:rPr>
          <w:b/>
          <w:bCs/>
        </w:rPr>
        <w:t xml:space="preserve">OCHRONA IP/ </w:t>
      </w:r>
      <w:r w:rsidRPr="0046740A">
        <w:rPr>
          <w:b/>
          <w:bCs/>
          <w:i/>
          <w:iCs/>
        </w:rPr>
        <w:t>IP PROTECTION</w:t>
      </w:r>
    </w:p>
    <w:p w14:paraId="26FD8C3D" w14:textId="3E548086" w:rsidR="004150E6" w:rsidRDefault="004150E6" w:rsidP="004150E6">
      <w:pPr>
        <w:spacing w:after="0"/>
        <w:rPr>
          <w:lang w:val="en-GB"/>
        </w:rPr>
      </w:pPr>
    </w:p>
    <w:p w14:paraId="3591DB66" w14:textId="63C5687C" w:rsidR="00CA1B43" w:rsidRPr="00AB0020" w:rsidRDefault="00AB0020" w:rsidP="004150E6">
      <w:pPr>
        <w:spacing w:after="0"/>
        <w:rPr>
          <w:i/>
          <w:iCs/>
        </w:rPr>
      </w:pPr>
      <w:r w:rsidRPr="009A61F6">
        <w:rPr>
          <w:rFonts w:ascii="Arial" w:eastAsia="Calibri" w:hAnsi="Arial" w:cs="Arial"/>
          <w:sz w:val="20"/>
          <w:szCs w:val="20"/>
        </w:rPr>
        <w:t>Wynalazek jest chroniony</w:t>
      </w:r>
      <w:r>
        <w:rPr>
          <w:rFonts w:ascii="Arial" w:eastAsia="Calibri" w:hAnsi="Arial" w:cs="Arial"/>
          <w:sz w:val="20"/>
          <w:szCs w:val="20"/>
        </w:rPr>
        <w:t xml:space="preserve"> zgłoszeniem patentowym w procedurze PCT nr zgłoszenia </w:t>
      </w:r>
      <w:r w:rsidRPr="00603D9A">
        <w:rPr>
          <w:rFonts w:ascii="Arial" w:eastAsia="Calibri" w:hAnsi="Arial" w:cs="Arial"/>
          <w:sz w:val="20"/>
          <w:szCs w:val="20"/>
        </w:rPr>
        <w:t>PCT/PL2020/050032</w:t>
      </w:r>
    </w:p>
    <w:p w14:paraId="4AD37975" w14:textId="02C251C5" w:rsidR="004150E6" w:rsidRDefault="00CA1B43" w:rsidP="00D278B8">
      <w:pPr>
        <w:spacing w:before="60" w:after="0"/>
        <w:rPr>
          <w:i/>
          <w:iCs/>
          <w:lang w:val="en-GB"/>
        </w:rPr>
      </w:pPr>
      <w:r w:rsidRPr="00CA1B43">
        <w:rPr>
          <w:i/>
          <w:iCs/>
          <w:lang w:val="en-GB"/>
        </w:rPr>
        <w:t>The invention is protected by a patent application submitted in the PCT procedure, application no. PCT/PL2020/050032</w:t>
      </w:r>
    </w:p>
    <w:p w14:paraId="73C7ACEF" w14:textId="4E4239C6" w:rsidR="0019436E" w:rsidRDefault="0019436E" w:rsidP="004150E6">
      <w:pPr>
        <w:spacing w:after="0"/>
        <w:rPr>
          <w:i/>
          <w:iCs/>
          <w:lang w:val="en-GB"/>
        </w:rPr>
      </w:pPr>
    </w:p>
    <w:p w14:paraId="5DAF2F87" w14:textId="1039324C" w:rsidR="0019436E" w:rsidRPr="001531BF" w:rsidRDefault="00DF5577" w:rsidP="00BF3AB3">
      <w:pPr>
        <w:pStyle w:val="Akapitzlist"/>
        <w:numPr>
          <w:ilvl w:val="0"/>
          <w:numId w:val="2"/>
        </w:numPr>
        <w:ind w:left="709" w:hanging="425"/>
        <w:rPr>
          <w:b/>
          <w:bCs/>
        </w:rPr>
      </w:pPr>
      <w:r w:rsidRPr="001531BF">
        <w:rPr>
          <w:b/>
          <w:bCs/>
        </w:rPr>
        <w:t xml:space="preserve">FORMA KOMERCJALIZACJI </w:t>
      </w:r>
      <w:r w:rsidR="00D278B8" w:rsidRPr="001531BF">
        <w:rPr>
          <w:b/>
          <w:bCs/>
        </w:rPr>
        <w:t xml:space="preserve">/ </w:t>
      </w:r>
      <w:r w:rsidR="00D278B8" w:rsidRPr="0046740A">
        <w:rPr>
          <w:b/>
          <w:bCs/>
          <w:i/>
          <w:iCs/>
        </w:rPr>
        <w:t>COMMERCIALIZATION</w:t>
      </w:r>
      <w:r w:rsidRPr="0046740A">
        <w:rPr>
          <w:b/>
          <w:bCs/>
          <w:i/>
          <w:iCs/>
        </w:rPr>
        <w:t xml:space="preserve"> FORM</w:t>
      </w:r>
    </w:p>
    <w:p w14:paraId="08690CB8" w14:textId="270140BD" w:rsidR="00DD5191" w:rsidRDefault="00757560" w:rsidP="00DD5191">
      <w:pPr>
        <w:spacing w:after="0"/>
        <w:rPr>
          <w:rFonts w:ascii="Arial" w:eastAsia="Calibri" w:hAnsi="Arial" w:cs="Arial"/>
          <w:i/>
          <w:iCs/>
          <w:sz w:val="20"/>
          <w:szCs w:val="20"/>
        </w:rPr>
      </w:pPr>
      <w:r w:rsidRPr="009A61F6">
        <w:rPr>
          <w:rFonts w:ascii="Arial" w:eastAsia="Calibri" w:hAnsi="Arial" w:cs="Arial"/>
          <w:sz w:val="20"/>
          <w:szCs w:val="20"/>
        </w:rPr>
        <w:t>Licencja</w:t>
      </w:r>
      <w:r>
        <w:rPr>
          <w:rFonts w:ascii="Arial" w:eastAsia="Calibri" w:hAnsi="Arial" w:cs="Arial"/>
          <w:sz w:val="20"/>
          <w:szCs w:val="20"/>
        </w:rPr>
        <w:t xml:space="preserve"> / </w:t>
      </w:r>
      <w:r w:rsidR="00EC7755" w:rsidRPr="00EC7755">
        <w:rPr>
          <w:rFonts w:ascii="Arial" w:eastAsia="Calibri" w:hAnsi="Arial" w:cs="Arial"/>
          <w:i/>
          <w:iCs/>
          <w:sz w:val="20"/>
          <w:szCs w:val="20"/>
        </w:rPr>
        <w:t>License</w:t>
      </w:r>
    </w:p>
    <w:p w14:paraId="761D557E" w14:textId="2B54D1E8" w:rsidR="00E57564" w:rsidRPr="0005040E" w:rsidRDefault="00C14A82" w:rsidP="00DD5191">
      <w:pPr>
        <w:spacing w:after="0"/>
        <w:rPr>
          <w:rFonts w:ascii="Arial" w:eastAsia="Calibri" w:hAnsi="Arial" w:cs="Arial"/>
          <w:i/>
          <w:iCs/>
          <w:sz w:val="20"/>
          <w:szCs w:val="20"/>
          <w:lang w:val="en-GB"/>
        </w:rPr>
      </w:pPr>
      <w:proofErr w:type="spellStart"/>
      <w:r>
        <w:rPr>
          <w:rFonts w:ascii="Arial" w:eastAsia="Calibri" w:hAnsi="Arial" w:cs="Arial"/>
          <w:sz w:val="20"/>
          <w:szCs w:val="20"/>
          <w:lang w:val="en-GB"/>
        </w:rPr>
        <w:t>Nabycie</w:t>
      </w:r>
      <w:proofErr w:type="spellEnd"/>
      <w:r w:rsidR="00E57564" w:rsidRPr="00E57564">
        <w:rPr>
          <w:rFonts w:ascii="Arial" w:eastAsia="Calibri" w:hAnsi="Arial" w:cs="Arial"/>
          <w:sz w:val="20"/>
          <w:szCs w:val="20"/>
          <w:lang w:val="en-GB"/>
        </w:rPr>
        <w:t xml:space="preserve"> </w:t>
      </w:r>
      <w:proofErr w:type="spellStart"/>
      <w:r w:rsidR="00E57564" w:rsidRPr="00E57564">
        <w:rPr>
          <w:rFonts w:ascii="Arial" w:eastAsia="Calibri" w:hAnsi="Arial" w:cs="Arial"/>
          <w:sz w:val="20"/>
          <w:szCs w:val="20"/>
          <w:lang w:val="en-GB"/>
        </w:rPr>
        <w:t>praw</w:t>
      </w:r>
      <w:proofErr w:type="spellEnd"/>
      <w:r w:rsidR="00E57564" w:rsidRPr="00E57564">
        <w:rPr>
          <w:rFonts w:ascii="Arial" w:eastAsia="Calibri" w:hAnsi="Arial" w:cs="Arial"/>
          <w:sz w:val="20"/>
          <w:szCs w:val="20"/>
          <w:lang w:val="en-GB"/>
        </w:rPr>
        <w:t xml:space="preserve"> </w:t>
      </w:r>
      <w:r w:rsidR="00A3461B">
        <w:rPr>
          <w:rFonts w:ascii="Arial" w:eastAsia="Calibri" w:hAnsi="Arial" w:cs="Arial"/>
          <w:sz w:val="20"/>
          <w:szCs w:val="20"/>
          <w:lang w:val="en-GB"/>
        </w:rPr>
        <w:t xml:space="preserve">do </w:t>
      </w:r>
      <w:proofErr w:type="spellStart"/>
      <w:r w:rsidR="00A3461B">
        <w:rPr>
          <w:rFonts w:ascii="Arial" w:eastAsia="Calibri" w:hAnsi="Arial" w:cs="Arial"/>
          <w:sz w:val="20"/>
          <w:szCs w:val="20"/>
          <w:lang w:val="en-GB"/>
        </w:rPr>
        <w:t>technologii</w:t>
      </w:r>
      <w:r w:rsidR="00E57564" w:rsidRPr="00E57564">
        <w:rPr>
          <w:rFonts w:ascii="Arial" w:eastAsia="Calibri" w:hAnsi="Arial" w:cs="Arial"/>
          <w:sz w:val="20"/>
          <w:szCs w:val="20"/>
          <w:lang w:val="en-GB"/>
        </w:rPr>
        <w:t>i</w:t>
      </w:r>
      <w:proofErr w:type="spellEnd"/>
      <w:r w:rsidR="00E57564" w:rsidRPr="00E57564">
        <w:rPr>
          <w:rFonts w:ascii="Arial" w:eastAsia="Calibri" w:hAnsi="Arial" w:cs="Arial"/>
          <w:sz w:val="20"/>
          <w:szCs w:val="20"/>
          <w:lang w:val="en-GB"/>
        </w:rPr>
        <w:t xml:space="preserve"> / </w:t>
      </w:r>
      <w:r>
        <w:rPr>
          <w:rFonts w:ascii="Arial" w:eastAsia="Calibri" w:hAnsi="Arial" w:cs="Arial"/>
          <w:i/>
          <w:iCs/>
          <w:sz w:val="20"/>
          <w:szCs w:val="20"/>
          <w:lang w:val="en-GB"/>
        </w:rPr>
        <w:t>Purchase</w:t>
      </w:r>
      <w:r w:rsidR="00E57564" w:rsidRPr="0005040E">
        <w:rPr>
          <w:rFonts w:ascii="Arial" w:eastAsia="Calibri" w:hAnsi="Arial" w:cs="Arial"/>
          <w:i/>
          <w:iCs/>
          <w:sz w:val="20"/>
          <w:szCs w:val="20"/>
          <w:lang w:val="en-GB"/>
        </w:rPr>
        <w:t xml:space="preserve"> of the technology rights</w:t>
      </w:r>
    </w:p>
    <w:p w14:paraId="672ED7DF" w14:textId="77777777" w:rsidR="00EA06E5" w:rsidRPr="00E57564" w:rsidRDefault="00EA06E5" w:rsidP="00DD5191">
      <w:pPr>
        <w:spacing w:after="0"/>
        <w:rPr>
          <w:rFonts w:ascii="Arial" w:eastAsia="Calibri" w:hAnsi="Arial" w:cs="Arial"/>
          <w:sz w:val="20"/>
          <w:szCs w:val="20"/>
          <w:lang w:val="en-GB"/>
        </w:rPr>
      </w:pPr>
    </w:p>
    <w:p w14:paraId="640C1FF6" w14:textId="403319C0" w:rsidR="00EC7755" w:rsidRPr="00E57564" w:rsidRDefault="00EC7755" w:rsidP="00DD5191">
      <w:pPr>
        <w:spacing w:after="0"/>
        <w:rPr>
          <w:rFonts w:ascii="Arial" w:eastAsia="Calibri" w:hAnsi="Arial" w:cs="Arial"/>
          <w:i/>
          <w:iCs/>
          <w:sz w:val="20"/>
          <w:szCs w:val="20"/>
          <w:lang w:val="en-GB"/>
        </w:rPr>
      </w:pPr>
    </w:p>
    <w:p w14:paraId="036FBE7C" w14:textId="14F5BF16" w:rsidR="00EC7755" w:rsidRPr="0046740A" w:rsidRDefault="00822B44" w:rsidP="00BF3AB3">
      <w:pPr>
        <w:pStyle w:val="Akapitzlist"/>
        <w:numPr>
          <w:ilvl w:val="0"/>
          <w:numId w:val="2"/>
        </w:numPr>
        <w:ind w:left="709" w:hanging="425"/>
        <w:rPr>
          <w:b/>
          <w:bCs/>
          <w:i/>
          <w:iCs/>
          <w:lang w:val="en-GB"/>
        </w:rPr>
      </w:pPr>
      <w:r w:rsidRPr="00FA6B16">
        <w:rPr>
          <w:b/>
          <w:bCs/>
          <w:lang w:val="en-GB"/>
        </w:rPr>
        <w:t xml:space="preserve">OPŁATY LICENCYJNE, NABYCIE PRAW DO TECHNOLOGII / </w:t>
      </w:r>
      <w:r w:rsidR="00283EDF" w:rsidRPr="0046740A">
        <w:rPr>
          <w:b/>
          <w:bCs/>
          <w:i/>
          <w:iCs/>
          <w:lang w:val="en-GB"/>
        </w:rPr>
        <w:t>ROYALTIES, PURCHASE OF TECHNOLOGY RIGHTS</w:t>
      </w:r>
    </w:p>
    <w:p w14:paraId="479C1004" w14:textId="3DD6BFEC" w:rsidR="005A6896" w:rsidRDefault="00700826" w:rsidP="00EF7E2C">
      <w:pPr>
        <w:spacing w:after="0"/>
        <w:jc w:val="both"/>
      </w:pPr>
      <w:r w:rsidRPr="00700826">
        <w:t>Informacja dostępna bezpośrednio w Centrum Transferu Technologii Uniwersytetu Gdańskiego po otrzymaniu e-mailowego zapytania od Oferenta przesłanego na adres e-mail: biuro@ctt.ug.edu.pl. Oferent powinien określić w swoim zapytaniu, jaką formą licencji jest zainteresowany.</w:t>
      </w:r>
    </w:p>
    <w:p w14:paraId="5F3626F2" w14:textId="39322349" w:rsidR="00EC46E3" w:rsidRDefault="00EC46E3" w:rsidP="00EF7E2C">
      <w:pPr>
        <w:spacing w:before="60" w:after="0"/>
        <w:jc w:val="both"/>
        <w:rPr>
          <w:i/>
          <w:iCs/>
          <w:lang w:val="en-GB"/>
        </w:rPr>
      </w:pPr>
      <w:r w:rsidRPr="00EC46E3">
        <w:rPr>
          <w:i/>
          <w:iCs/>
          <w:lang w:val="en-GB"/>
        </w:rPr>
        <w:t>Information is available directly at the Technology Transfer Office of the University of Gdansk after receiving an e-mail enquiry from the Offeror, sent to the following e-mail address: biuro@ctt.ug.edu.pl. The Offeror should specify in his enquiry which form of licence he is interested in.</w:t>
      </w:r>
    </w:p>
    <w:p w14:paraId="53806B07" w14:textId="2CB813F6" w:rsidR="00F21751" w:rsidRDefault="00F21751" w:rsidP="005A6896">
      <w:pPr>
        <w:spacing w:after="0"/>
        <w:rPr>
          <w:i/>
          <w:iCs/>
          <w:lang w:val="en-GB"/>
        </w:rPr>
      </w:pPr>
    </w:p>
    <w:p w14:paraId="2CE285DB" w14:textId="77777777" w:rsidR="000435C1" w:rsidRDefault="000435C1" w:rsidP="005A6896">
      <w:pPr>
        <w:spacing w:after="0"/>
        <w:rPr>
          <w:i/>
          <w:iCs/>
          <w:lang w:val="en-GB"/>
        </w:rPr>
      </w:pPr>
    </w:p>
    <w:p w14:paraId="36E7C6B1" w14:textId="00B567B1" w:rsidR="00F21751" w:rsidRPr="00172BE4" w:rsidRDefault="00FE7058" w:rsidP="00BF3AB3">
      <w:pPr>
        <w:pStyle w:val="Akapitzlist"/>
        <w:numPr>
          <w:ilvl w:val="0"/>
          <w:numId w:val="2"/>
        </w:numPr>
        <w:ind w:left="709" w:hanging="425"/>
        <w:rPr>
          <w:b/>
          <w:bCs/>
        </w:rPr>
      </w:pPr>
      <w:r w:rsidRPr="00172BE4">
        <w:rPr>
          <w:b/>
          <w:bCs/>
        </w:rPr>
        <w:t>WARUNKI ZAPROSZENIA DO SKŁADANIA OFERT</w:t>
      </w:r>
      <w:r w:rsidR="00BF5752" w:rsidRPr="00172BE4">
        <w:rPr>
          <w:b/>
          <w:bCs/>
        </w:rPr>
        <w:t xml:space="preserve"> / </w:t>
      </w:r>
      <w:r w:rsidR="00B228DF" w:rsidRPr="0046740A">
        <w:rPr>
          <w:b/>
          <w:bCs/>
          <w:i/>
          <w:iCs/>
        </w:rPr>
        <w:t>ENQUIRY CONDITIONS</w:t>
      </w:r>
    </w:p>
    <w:p w14:paraId="7F07BA6F" w14:textId="22E5C3A3" w:rsidR="002D349C" w:rsidRDefault="002D349C" w:rsidP="00EF7E2C">
      <w:pPr>
        <w:spacing w:after="0" w:line="240" w:lineRule="auto"/>
        <w:ind w:left="709" w:hanging="425"/>
        <w:jc w:val="both"/>
      </w:pPr>
      <w:r>
        <w:t>1.</w:t>
      </w:r>
      <w:r>
        <w:tab/>
        <w:t xml:space="preserve">Termin składania </w:t>
      </w:r>
      <w:r w:rsidRPr="008D4138">
        <w:rPr>
          <w:b/>
          <w:bCs/>
        </w:rPr>
        <w:t>ofer</w:t>
      </w:r>
      <w:r w:rsidR="00FF7A09" w:rsidRPr="008D4138">
        <w:rPr>
          <w:b/>
          <w:bCs/>
        </w:rPr>
        <w:t>t ciągły</w:t>
      </w:r>
    </w:p>
    <w:p w14:paraId="66883067" w14:textId="4130B1E0" w:rsidR="002D349C" w:rsidRDefault="002D349C" w:rsidP="00EF7E2C">
      <w:pPr>
        <w:spacing w:after="0" w:line="240" w:lineRule="auto"/>
        <w:ind w:left="709" w:hanging="425"/>
        <w:jc w:val="both"/>
      </w:pPr>
      <w:r>
        <w:t>2.</w:t>
      </w:r>
      <w:r>
        <w:tab/>
        <w:t>Okres związania ofertą</w:t>
      </w:r>
      <w:r w:rsidR="001D6F8D">
        <w:t xml:space="preserve"> </w:t>
      </w:r>
      <w:r w:rsidR="001D6F8D" w:rsidRPr="008D4138">
        <w:rPr>
          <w:b/>
          <w:bCs/>
        </w:rPr>
        <w:t>trzy miesiące</w:t>
      </w:r>
      <w:r w:rsidR="00667DCC" w:rsidRPr="008D4138">
        <w:rPr>
          <w:b/>
          <w:bCs/>
        </w:rPr>
        <w:t xml:space="preserve"> od daty złożenia oferty</w:t>
      </w:r>
    </w:p>
    <w:p w14:paraId="11B5D7D5" w14:textId="45096900" w:rsidR="002D349C" w:rsidRDefault="002D349C" w:rsidP="00EF7E2C">
      <w:pPr>
        <w:spacing w:after="0" w:line="240" w:lineRule="auto"/>
        <w:ind w:left="709" w:hanging="425"/>
        <w:jc w:val="both"/>
      </w:pPr>
      <w:r>
        <w:t>3.</w:t>
      </w:r>
      <w:r>
        <w:tab/>
        <w:t xml:space="preserve">Rozpatrywanie Ofert: w terminie związania Ofertą z możliwością przedłużenia okresu o </w:t>
      </w:r>
      <w:r w:rsidR="001D6F8D">
        <w:t>kolejne trzy miesiące</w:t>
      </w:r>
      <w:r>
        <w:t xml:space="preserve"> dni od daty zakończenia pierwotnego terminu.</w:t>
      </w:r>
    </w:p>
    <w:p w14:paraId="0825B5E3" w14:textId="77777777" w:rsidR="002D349C" w:rsidRDefault="002D349C" w:rsidP="00EF7E2C">
      <w:pPr>
        <w:spacing w:after="0" w:line="240" w:lineRule="auto"/>
        <w:ind w:left="709" w:hanging="425"/>
        <w:jc w:val="both"/>
      </w:pPr>
      <w:r>
        <w:t>4.</w:t>
      </w:r>
      <w:r>
        <w:tab/>
        <w:t>Niniejsze postępowanie jest prowadzone z zachowaniem zasad uczciwej konkurencji, przejrzystości, jawności i równego traktowania.</w:t>
      </w:r>
    </w:p>
    <w:p w14:paraId="29BF7F16" w14:textId="77777777" w:rsidR="002D349C" w:rsidRDefault="002D349C" w:rsidP="00EF7E2C">
      <w:pPr>
        <w:spacing w:after="0" w:line="240" w:lineRule="auto"/>
        <w:ind w:left="709" w:hanging="425"/>
        <w:jc w:val="both"/>
      </w:pPr>
      <w:r>
        <w:t>5.</w:t>
      </w:r>
      <w:r>
        <w:tab/>
        <w:t>W toku badania i oceny ofert Zamawiający może żądać od oferentów wyjaśnień dotyczących treści złożonych ofert.</w:t>
      </w:r>
    </w:p>
    <w:p w14:paraId="327B3C9E" w14:textId="77777777" w:rsidR="002D349C" w:rsidRDefault="002D349C" w:rsidP="00EF7E2C">
      <w:pPr>
        <w:spacing w:after="0" w:line="240" w:lineRule="auto"/>
        <w:ind w:left="709" w:hanging="425"/>
        <w:jc w:val="both"/>
      </w:pPr>
      <w:r>
        <w:t>6.</w:t>
      </w:r>
      <w:r>
        <w:tab/>
        <w:t>W ramach postepowania przewiduje się możliwość zorganizowania spotkania z potencjalnymi oferentami w kwestiach związanych z zaproszeniem do składania ofert. Konsultacje w sprawie zaproszenia mogą się odbyć również w formie telefonicznej lub za pośrednictwem poczty elektronicznej.</w:t>
      </w:r>
    </w:p>
    <w:p w14:paraId="3CD15A22" w14:textId="77777777" w:rsidR="002D349C" w:rsidRDefault="002D349C" w:rsidP="00EF7E2C">
      <w:pPr>
        <w:spacing w:after="0" w:line="240" w:lineRule="auto"/>
        <w:ind w:left="709" w:hanging="425"/>
        <w:jc w:val="both"/>
      </w:pPr>
      <w:r>
        <w:t>7.</w:t>
      </w:r>
      <w:r>
        <w:tab/>
        <w:t>Oferta złożona, która nie odpowiada warunkom zawartym w niniejszym zaproszeniu lub złożona po terminie nie będzie rozpatrywana.</w:t>
      </w:r>
    </w:p>
    <w:p w14:paraId="467B90EF" w14:textId="21C7D709" w:rsidR="002D349C" w:rsidRDefault="002D349C" w:rsidP="00EF7E2C">
      <w:pPr>
        <w:spacing w:after="0" w:line="240" w:lineRule="auto"/>
        <w:ind w:left="709" w:hanging="425"/>
        <w:jc w:val="both"/>
      </w:pPr>
      <w:r>
        <w:t>8.</w:t>
      </w:r>
      <w:r>
        <w:tab/>
        <w:t>Uniwersytet Gdański zastrzega sobie prawo do możliwoś</w:t>
      </w:r>
      <w:r w:rsidR="00387084">
        <w:t xml:space="preserve">ci </w:t>
      </w:r>
      <w:r>
        <w:t xml:space="preserve">podjęcia </w:t>
      </w:r>
      <w:r w:rsidR="00387084">
        <w:t xml:space="preserve">negocjacji z wybranymi Oferentami </w:t>
      </w:r>
      <w:r>
        <w:t>w okresie związania ofertą. Negocjacje mogą się odbyć także w formie telefonicznej, za pośrednictwem poczty elektronicznej lub spotkania on-line.</w:t>
      </w:r>
    </w:p>
    <w:p w14:paraId="2EE146E0" w14:textId="171D3F5C" w:rsidR="00B228DF" w:rsidRDefault="002D349C" w:rsidP="00EF7E2C">
      <w:pPr>
        <w:spacing w:after="0" w:line="240" w:lineRule="auto"/>
        <w:ind w:left="709" w:hanging="425"/>
        <w:jc w:val="both"/>
      </w:pPr>
      <w:r>
        <w:t>9.</w:t>
      </w:r>
      <w:r>
        <w:tab/>
        <w:t>Dopuszcza się możliwość dokonania przez Oferenta zmiany warunków złożonej Oferty po przeprowadzonych negocjacjach.</w:t>
      </w:r>
    </w:p>
    <w:p w14:paraId="068ACF9E" w14:textId="77777777" w:rsidR="00E57764" w:rsidRDefault="00E57764" w:rsidP="00EF7E2C">
      <w:pPr>
        <w:spacing w:after="0" w:line="240" w:lineRule="auto"/>
        <w:ind w:left="709" w:hanging="425"/>
        <w:jc w:val="both"/>
      </w:pPr>
      <w:r>
        <w:t>10.</w:t>
      </w:r>
      <w:r>
        <w:tab/>
        <w:t>Uniwersytet Gdański zastrzega sobie prawo do zmiany warunków niniejszego Zaproszenia bez podania przyczyny.</w:t>
      </w:r>
    </w:p>
    <w:p w14:paraId="164B88F0" w14:textId="522383BF" w:rsidR="00E57764" w:rsidRDefault="00E57764" w:rsidP="00EF7E2C">
      <w:pPr>
        <w:spacing w:after="0" w:line="240" w:lineRule="auto"/>
        <w:ind w:left="709" w:hanging="425"/>
        <w:jc w:val="both"/>
      </w:pPr>
      <w:r>
        <w:t>11.</w:t>
      </w:r>
      <w:r>
        <w:tab/>
        <w:t xml:space="preserve">Uniwersytet Gdański zastrzega sobie prawo do odstąpienia od zbycia licencji </w:t>
      </w:r>
      <w:r w:rsidR="00EF1CAF">
        <w:t xml:space="preserve">/ zbycia praw do technologii </w:t>
      </w:r>
      <w:r>
        <w:t>bez wyboru Oferty.</w:t>
      </w:r>
    </w:p>
    <w:p w14:paraId="6AD11CED" w14:textId="77777777" w:rsidR="00E57764" w:rsidRDefault="00E57764" w:rsidP="00EF7E2C">
      <w:pPr>
        <w:spacing w:after="0" w:line="240" w:lineRule="auto"/>
        <w:ind w:left="709" w:hanging="425"/>
        <w:jc w:val="both"/>
      </w:pPr>
      <w:r>
        <w:t>12.</w:t>
      </w:r>
      <w:r>
        <w:tab/>
        <w:t>Niniejsze zaproszenie do składania ofert nie stanowi oferty w rozumieniu przepisów Kodeksu Cywilnego.</w:t>
      </w:r>
    </w:p>
    <w:p w14:paraId="734FA3B6" w14:textId="3BE35DDD" w:rsidR="00E57764" w:rsidRDefault="00E57764" w:rsidP="00EF7E2C">
      <w:pPr>
        <w:spacing w:after="0" w:line="240" w:lineRule="auto"/>
        <w:ind w:left="709" w:hanging="425"/>
        <w:jc w:val="both"/>
      </w:pPr>
      <w:r>
        <w:t>13.</w:t>
      </w:r>
      <w:r>
        <w:tab/>
        <w:t>Pytania dotyczące zaproszenia należy kierować na adres e-mail podany w danych kontaktowych</w:t>
      </w:r>
      <w:r w:rsidR="00644C6D">
        <w:t>.</w:t>
      </w:r>
    </w:p>
    <w:p w14:paraId="51486172" w14:textId="77777777" w:rsidR="00E57764" w:rsidRDefault="00E57764" w:rsidP="00EF7E2C">
      <w:pPr>
        <w:spacing w:after="0" w:line="240" w:lineRule="auto"/>
        <w:ind w:left="709" w:hanging="425"/>
        <w:jc w:val="both"/>
      </w:pPr>
      <w:r>
        <w:t>14.</w:t>
      </w:r>
      <w:r>
        <w:tab/>
        <w:t>Uniwersytet Gdański nie jest zobowiązany do zwrotu Oferentom jakichkolwiek kosztów związanych z Ofertą.</w:t>
      </w:r>
    </w:p>
    <w:p w14:paraId="60CF34A5" w14:textId="6487B26D" w:rsidR="00E57764" w:rsidRDefault="00E57764" w:rsidP="00EF7E2C">
      <w:pPr>
        <w:spacing w:after="0" w:line="240" w:lineRule="auto"/>
        <w:ind w:left="709" w:hanging="425"/>
        <w:jc w:val="both"/>
      </w:pPr>
      <w:r>
        <w:t>15.</w:t>
      </w:r>
      <w:r>
        <w:tab/>
        <w:t xml:space="preserve">Zawarcie Umowy Licencyjnej </w:t>
      </w:r>
      <w:r w:rsidR="00EF1CAF">
        <w:t xml:space="preserve">/ Umowy nabycia praw do technologii </w:t>
      </w:r>
      <w:r>
        <w:t>jest uwarunkowane spełnieniem wszelkich procedur w zakresie rozporządzania wartościami niematerialnymi i prawnymi wymaganych przepisami prawa w odniesieniu do uczelni wyższych.</w:t>
      </w:r>
    </w:p>
    <w:p w14:paraId="58146FEE" w14:textId="4A61B96D" w:rsidR="00E57764" w:rsidRDefault="00E57764" w:rsidP="00EF7E2C">
      <w:pPr>
        <w:spacing w:line="240" w:lineRule="auto"/>
        <w:ind w:left="709" w:hanging="425"/>
        <w:jc w:val="both"/>
      </w:pPr>
      <w:r>
        <w:t>16.</w:t>
      </w:r>
      <w:r>
        <w:tab/>
        <w:t>Oferenci nie są uprawnieni do występowania z jakimikolwiek roszczeniami wobec Uniwersytetu Gdańskiego w odniesieniu do warunków niniejszego Zaproszenia lub wyboru innego Oferenta.</w:t>
      </w:r>
    </w:p>
    <w:p w14:paraId="233E3566" w14:textId="38111180" w:rsidR="00B91005" w:rsidRPr="00B91005" w:rsidRDefault="00B91005" w:rsidP="00EF7E2C">
      <w:pPr>
        <w:spacing w:after="0"/>
        <w:ind w:left="709" w:hanging="425"/>
        <w:jc w:val="both"/>
        <w:rPr>
          <w:i/>
          <w:iCs/>
          <w:lang w:val="en-GB"/>
        </w:rPr>
      </w:pPr>
      <w:r w:rsidRPr="00B91005">
        <w:rPr>
          <w:i/>
          <w:iCs/>
          <w:lang w:val="en-GB"/>
        </w:rPr>
        <w:t>1.</w:t>
      </w:r>
      <w:r w:rsidRPr="00B91005">
        <w:rPr>
          <w:i/>
          <w:iCs/>
          <w:lang w:val="en-GB"/>
        </w:rPr>
        <w:tab/>
        <w:t>The Offer submission deadline shall expire on</w:t>
      </w:r>
      <w:r w:rsidR="009D44D2">
        <w:rPr>
          <w:i/>
          <w:iCs/>
          <w:lang w:val="en-GB"/>
        </w:rPr>
        <w:t xml:space="preserve"> - </w:t>
      </w:r>
      <w:r w:rsidR="00C74B04" w:rsidRPr="008D4138">
        <w:rPr>
          <w:b/>
          <w:bCs/>
          <w:i/>
          <w:iCs/>
          <w:lang w:val="en-GB"/>
        </w:rPr>
        <w:t>un</w:t>
      </w:r>
      <w:r w:rsidR="009D44D2" w:rsidRPr="008D4138">
        <w:rPr>
          <w:b/>
          <w:bCs/>
          <w:i/>
          <w:iCs/>
          <w:lang w:val="en-GB"/>
        </w:rPr>
        <w:t xml:space="preserve">limited </w:t>
      </w:r>
      <w:r w:rsidR="00C74B04" w:rsidRPr="008D4138">
        <w:rPr>
          <w:b/>
          <w:bCs/>
          <w:i/>
          <w:iCs/>
          <w:lang w:val="en-GB"/>
        </w:rPr>
        <w:t xml:space="preserve">time </w:t>
      </w:r>
      <w:r w:rsidR="009D44D2" w:rsidRPr="008D4138">
        <w:rPr>
          <w:b/>
          <w:bCs/>
          <w:i/>
          <w:iCs/>
          <w:lang w:val="en-GB"/>
        </w:rPr>
        <w:t xml:space="preserve">for offers' </w:t>
      </w:r>
      <w:r w:rsidR="00C74B04" w:rsidRPr="008D4138">
        <w:rPr>
          <w:b/>
          <w:bCs/>
          <w:i/>
          <w:iCs/>
          <w:lang w:val="en-GB"/>
        </w:rPr>
        <w:t>submitting</w:t>
      </w:r>
    </w:p>
    <w:p w14:paraId="249348D9" w14:textId="48BD8C54" w:rsidR="00B91005" w:rsidRPr="00B91005" w:rsidRDefault="00B91005" w:rsidP="00EF7E2C">
      <w:pPr>
        <w:spacing w:after="0"/>
        <w:ind w:left="709" w:hanging="425"/>
        <w:jc w:val="both"/>
        <w:rPr>
          <w:i/>
          <w:iCs/>
          <w:lang w:val="en-GB"/>
        </w:rPr>
      </w:pPr>
      <w:r w:rsidRPr="00B91005">
        <w:rPr>
          <w:i/>
          <w:iCs/>
          <w:lang w:val="en-GB"/>
        </w:rPr>
        <w:t>2.</w:t>
      </w:r>
      <w:r w:rsidRPr="00B91005">
        <w:rPr>
          <w:i/>
          <w:iCs/>
          <w:lang w:val="en-GB"/>
        </w:rPr>
        <w:tab/>
        <w:t>The Offer binding period is</w:t>
      </w:r>
      <w:r w:rsidR="00667DCC">
        <w:rPr>
          <w:i/>
          <w:iCs/>
          <w:lang w:val="en-GB"/>
        </w:rPr>
        <w:t xml:space="preserve"> </w:t>
      </w:r>
      <w:r w:rsidR="00667DCC" w:rsidRPr="008D4138">
        <w:rPr>
          <w:b/>
          <w:bCs/>
          <w:i/>
          <w:iCs/>
          <w:lang w:val="en-GB"/>
        </w:rPr>
        <w:t>three months</w:t>
      </w:r>
      <w:r w:rsidR="00667DCC">
        <w:rPr>
          <w:i/>
          <w:iCs/>
          <w:lang w:val="en-GB"/>
        </w:rPr>
        <w:t xml:space="preserve"> </w:t>
      </w:r>
      <w:r w:rsidR="008D4138" w:rsidRPr="008D4138">
        <w:rPr>
          <w:b/>
          <w:bCs/>
          <w:i/>
          <w:iCs/>
          <w:lang w:val="en-GB"/>
        </w:rPr>
        <w:t>calculated from the date of the offer submitting</w:t>
      </w:r>
      <w:r w:rsidR="008D4138">
        <w:rPr>
          <w:i/>
          <w:iCs/>
          <w:lang w:val="en-GB"/>
        </w:rPr>
        <w:t xml:space="preserve"> </w:t>
      </w:r>
    </w:p>
    <w:p w14:paraId="415E688D" w14:textId="38B0E1DA" w:rsidR="00B91005" w:rsidRPr="00B91005" w:rsidRDefault="00B91005" w:rsidP="00EF7E2C">
      <w:pPr>
        <w:spacing w:after="0"/>
        <w:ind w:left="709" w:hanging="425"/>
        <w:jc w:val="both"/>
        <w:rPr>
          <w:i/>
          <w:iCs/>
          <w:lang w:val="en-GB"/>
        </w:rPr>
      </w:pPr>
      <w:r w:rsidRPr="00B91005">
        <w:rPr>
          <w:i/>
          <w:iCs/>
          <w:lang w:val="en-GB"/>
        </w:rPr>
        <w:t>3.</w:t>
      </w:r>
      <w:r w:rsidRPr="00B91005">
        <w:rPr>
          <w:i/>
          <w:iCs/>
          <w:lang w:val="en-GB"/>
        </w:rPr>
        <w:tab/>
        <w:t xml:space="preserve">Examination of the offers submitted within the offer binding period </w:t>
      </w:r>
      <w:r w:rsidR="003F69F1" w:rsidRPr="003F69F1">
        <w:rPr>
          <w:i/>
          <w:iCs/>
          <w:lang w:val="en-GB"/>
        </w:rPr>
        <w:t>the possibility of extending the period for a further three months of days from the end of the original period</w:t>
      </w:r>
      <w:r w:rsidRPr="00B91005">
        <w:rPr>
          <w:i/>
          <w:iCs/>
          <w:lang w:val="en-GB"/>
        </w:rPr>
        <w:t>.</w:t>
      </w:r>
    </w:p>
    <w:p w14:paraId="5DDDBA25" w14:textId="77777777" w:rsidR="00B91005" w:rsidRPr="00B91005" w:rsidRDefault="00B91005" w:rsidP="00EF7E2C">
      <w:pPr>
        <w:spacing w:after="0"/>
        <w:ind w:left="709" w:hanging="425"/>
        <w:jc w:val="both"/>
        <w:rPr>
          <w:i/>
          <w:iCs/>
          <w:lang w:val="en-GB"/>
        </w:rPr>
      </w:pPr>
      <w:r w:rsidRPr="00B91005">
        <w:rPr>
          <w:i/>
          <w:iCs/>
          <w:lang w:val="en-GB"/>
        </w:rPr>
        <w:t>4.</w:t>
      </w:r>
      <w:r w:rsidRPr="00B91005">
        <w:rPr>
          <w:i/>
          <w:iCs/>
          <w:lang w:val="en-GB"/>
        </w:rPr>
        <w:tab/>
        <w:t>This procedure is conducted in compliance with the principles of fair competition, transparency, openness, and equal treatment.</w:t>
      </w:r>
    </w:p>
    <w:p w14:paraId="1E3AFDE0" w14:textId="350D7C89" w:rsidR="00B91005" w:rsidRPr="00B91005" w:rsidRDefault="00B91005" w:rsidP="00EF7E2C">
      <w:pPr>
        <w:spacing w:after="0"/>
        <w:ind w:left="709" w:hanging="425"/>
        <w:jc w:val="both"/>
        <w:rPr>
          <w:i/>
          <w:iCs/>
          <w:lang w:val="en-GB"/>
        </w:rPr>
      </w:pPr>
      <w:r w:rsidRPr="00B91005">
        <w:rPr>
          <w:i/>
          <w:iCs/>
          <w:lang w:val="en-GB"/>
        </w:rPr>
        <w:lastRenderedPageBreak/>
        <w:t>5.</w:t>
      </w:r>
      <w:r w:rsidRPr="00B91005">
        <w:rPr>
          <w:i/>
          <w:iCs/>
          <w:lang w:val="en-GB"/>
        </w:rPr>
        <w:tab/>
        <w:t>During examination and evaluation of the submitted offers, the University of Gdańsk may demand from Offerors</w:t>
      </w:r>
      <w:r w:rsidR="008F21A8">
        <w:rPr>
          <w:i/>
          <w:iCs/>
          <w:lang w:val="en-GB"/>
        </w:rPr>
        <w:t>’</w:t>
      </w:r>
      <w:r w:rsidRPr="00B91005">
        <w:rPr>
          <w:i/>
          <w:iCs/>
          <w:lang w:val="en-GB"/>
        </w:rPr>
        <w:t xml:space="preserve"> explanations regarding the content of the submitted offers.</w:t>
      </w:r>
    </w:p>
    <w:p w14:paraId="582A4B72" w14:textId="77777777" w:rsidR="00B91005" w:rsidRPr="00B91005" w:rsidRDefault="00B91005" w:rsidP="00EF7E2C">
      <w:pPr>
        <w:spacing w:after="0"/>
        <w:ind w:left="709" w:hanging="425"/>
        <w:jc w:val="both"/>
        <w:rPr>
          <w:i/>
          <w:iCs/>
          <w:lang w:val="en-GB"/>
        </w:rPr>
      </w:pPr>
      <w:r w:rsidRPr="00B91005">
        <w:rPr>
          <w:i/>
          <w:iCs/>
          <w:lang w:val="en-GB"/>
        </w:rPr>
        <w:t>6.</w:t>
      </w:r>
      <w:r w:rsidRPr="00B91005">
        <w:rPr>
          <w:i/>
          <w:iCs/>
          <w:lang w:val="en-GB"/>
        </w:rPr>
        <w:tab/>
        <w:t>Within the framework of the procedure provides for the possibility of organising a meeting with potential tenderers on matters relating to the enquiry. Consultation may also be carried out by telephone or e-mail.</w:t>
      </w:r>
    </w:p>
    <w:p w14:paraId="699D42C8" w14:textId="77777777" w:rsidR="00B91005" w:rsidRPr="00B91005" w:rsidRDefault="00B91005" w:rsidP="00EF7E2C">
      <w:pPr>
        <w:spacing w:after="0"/>
        <w:ind w:left="709" w:hanging="425"/>
        <w:jc w:val="both"/>
        <w:rPr>
          <w:i/>
          <w:iCs/>
          <w:lang w:val="en-GB"/>
        </w:rPr>
      </w:pPr>
      <w:r w:rsidRPr="00B91005">
        <w:rPr>
          <w:i/>
          <w:iCs/>
          <w:lang w:val="en-GB"/>
        </w:rPr>
        <w:t>7.</w:t>
      </w:r>
      <w:r w:rsidRPr="00B91005">
        <w:rPr>
          <w:i/>
          <w:iCs/>
          <w:lang w:val="en-GB"/>
        </w:rPr>
        <w:tab/>
        <w:t>Offers which do not meet conditions of this enquiry or submitted after the deadline for submission will not be considered.</w:t>
      </w:r>
    </w:p>
    <w:p w14:paraId="1C4030F4" w14:textId="599A8BA1" w:rsidR="00B91005" w:rsidRPr="00B91005" w:rsidRDefault="00B91005" w:rsidP="00EF7E2C">
      <w:pPr>
        <w:spacing w:after="0"/>
        <w:ind w:left="709" w:hanging="425"/>
        <w:jc w:val="both"/>
        <w:rPr>
          <w:i/>
          <w:iCs/>
          <w:lang w:val="en-GB"/>
        </w:rPr>
      </w:pPr>
      <w:r w:rsidRPr="00B91005">
        <w:rPr>
          <w:i/>
          <w:iCs/>
          <w:lang w:val="en-GB"/>
        </w:rPr>
        <w:t>8.</w:t>
      </w:r>
      <w:r w:rsidRPr="00B91005">
        <w:rPr>
          <w:i/>
          <w:iCs/>
          <w:lang w:val="en-GB"/>
        </w:rPr>
        <w:tab/>
        <w:t>The University of Gdansk reserves the right to enter</w:t>
      </w:r>
      <w:r w:rsidR="0014479C">
        <w:rPr>
          <w:i/>
          <w:iCs/>
          <w:lang w:val="en-GB"/>
        </w:rPr>
        <w:t xml:space="preserve"> </w:t>
      </w:r>
      <w:r w:rsidRPr="00B91005">
        <w:rPr>
          <w:i/>
          <w:iCs/>
          <w:lang w:val="en-GB"/>
        </w:rPr>
        <w:t>into negotiations with selected Offerors during the offer validity period. Negotiations may also take place by phone, e-mail or may be carried out during on-line meeting.</w:t>
      </w:r>
    </w:p>
    <w:p w14:paraId="65A2C26D" w14:textId="77777777" w:rsidR="00B91005" w:rsidRPr="00B91005" w:rsidRDefault="00B91005" w:rsidP="00EF7E2C">
      <w:pPr>
        <w:spacing w:after="0"/>
        <w:ind w:left="709" w:hanging="425"/>
        <w:jc w:val="both"/>
        <w:rPr>
          <w:i/>
          <w:iCs/>
          <w:lang w:val="en-GB"/>
        </w:rPr>
      </w:pPr>
      <w:r w:rsidRPr="00B91005">
        <w:rPr>
          <w:i/>
          <w:iCs/>
          <w:lang w:val="en-GB"/>
        </w:rPr>
        <w:t>9.</w:t>
      </w:r>
      <w:r w:rsidRPr="00B91005">
        <w:rPr>
          <w:i/>
          <w:iCs/>
          <w:lang w:val="en-GB"/>
        </w:rPr>
        <w:tab/>
        <w:t>The Offeror may change the terms of the submitted Offer after the negotiations.</w:t>
      </w:r>
    </w:p>
    <w:p w14:paraId="3009BBDF" w14:textId="77777777" w:rsidR="00B91005" w:rsidRPr="00B91005" w:rsidRDefault="00B91005" w:rsidP="00EF7E2C">
      <w:pPr>
        <w:spacing w:after="0"/>
        <w:ind w:left="709" w:hanging="425"/>
        <w:jc w:val="both"/>
        <w:rPr>
          <w:i/>
          <w:iCs/>
          <w:lang w:val="en-GB"/>
        </w:rPr>
      </w:pPr>
      <w:r w:rsidRPr="00B91005">
        <w:rPr>
          <w:i/>
          <w:iCs/>
          <w:lang w:val="en-GB"/>
        </w:rPr>
        <w:t>10.</w:t>
      </w:r>
      <w:r w:rsidRPr="00B91005">
        <w:rPr>
          <w:i/>
          <w:iCs/>
          <w:lang w:val="en-GB"/>
        </w:rPr>
        <w:tab/>
        <w:t>The University of Gdansk reserves the right to change the conditions of the Enquiry without giving any reason.</w:t>
      </w:r>
    </w:p>
    <w:p w14:paraId="00791F8D" w14:textId="75877818" w:rsidR="00B91005" w:rsidRPr="00B91005" w:rsidRDefault="00B91005" w:rsidP="00EF7E2C">
      <w:pPr>
        <w:spacing w:after="0"/>
        <w:ind w:left="709" w:hanging="425"/>
        <w:jc w:val="both"/>
        <w:rPr>
          <w:i/>
          <w:iCs/>
          <w:lang w:val="en-GB"/>
        </w:rPr>
      </w:pPr>
      <w:r w:rsidRPr="00B91005">
        <w:rPr>
          <w:i/>
          <w:iCs/>
          <w:lang w:val="en-GB"/>
        </w:rPr>
        <w:t>11.</w:t>
      </w:r>
      <w:r w:rsidRPr="00B91005">
        <w:rPr>
          <w:i/>
          <w:iCs/>
          <w:lang w:val="en-GB"/>
        </w:rPr>
        <w:tab/>
        <w:t xml:space="preserve">The University of Gdansk reserves the right to withdraw from the sale of the technology licence </w:t>
      </w:r>
      <w:r w:rsidR="009F5AE8">
        <w:rPr>
          <w:i/>
          <w:iCs/>
          <w:lang w:val="en-GB"/>
        </w:rPr>
        <w:t xml:space="preserve">/ sale of </w:t>
      </w:r>
      <w:r w:rsidR="00DF1DE7">
        <w:rPr>
          <w:i/>
          <w:iCs/>
          <w:lang w:val="en-GB"/>
        </w:rPr>
        <w:t xml:space="preserve">the </w:t>
      </w:r>
      <w:r w:rsidR="009F5AE8">
        <w:rPr>
          <w:i/>
          <w:iCs/>
          <w:lang w:val="en-GB"/>
        </w:rPr>
        <w:t xml:space="preserve">technology rights </w:t>
      </w:r>
      <w:r w:rsidRPr="00B91005">
        <w:rPr>
          <w:i/>
          <w:iCs/>
          <w:lang w:val="en-GB"/>
        </w:rPr>
        <w:t>without selecting an Offer.</w:t>
      </w:r>
    </w:p>
    <w:p w14:paraId="41BC06EA" w14:textId="77777777" w:rsidR="00B91005" w:rsidRPr="00B91005" w:rsidRDefault="00B91005" w:rsidP="00EF7E2C">
      <w:pPr>
        <w:spacing w:after="0"/>
        <w:ind w:left="709" w:hanging="425"/>
        <w:jc w:val="both"/>
        <w:rPr>
          <w:i/>
          <w:iCs/>
          <w:lang w:val="en-GB"/>
        </w:rPr>
      </w:pPr>
      <w:r w:rsidRPr="00B91005">
        <w:rPr>
          <w:i/>
          <w:iCs/>
          <w:lang w:val="en-GB"/>
        </w:rPr>
        <w:t>12.</w:t>
      </w:r>
      <w:r w:rsidRPr="00B91005">
        <w:rPr>
          <w:i/>
          <w:iCs/>
          <w:lang w:val="en-GB"/>
        </w:rPr>
        <w:tab/>
        <w:t>This enquiry does not constitute an offer within the meaning of the Polish Civil Code.</w:t>
      </w:r>
    </w:p>
    <w:p w14:paraId="65621CAB" w14:textId="77777777" w:rsidR="00B91005" w:rsidRPr="00B91005" w:rsidRDefault="00B91005" w:rsidP="00EF7E2C">
      <w:pPr>
        <w:spacing w:after="0"/>
        <w:ind w:left="709" w:hanging="425"/>
        <w:jc w:val="both"/>
        <w:rPr>
          <w:i/>
          <w:iCs/>
          <w:lang w:val="en-GB"/>
        </w:rPr>
      </w:pPr>
      <w:r w:rsidRPr="00B91005">
        <w:rPr>
          <w:i/>
          <w:iCs/>
          <w:lang w:val="en-GB"/>
        </w:rPr>
        <w:t>13.</w:t>
      </w:r>
      <w:r w:rsidRPr="00B91005">
        <w:rPr>
          <w:i/>
          <w:iCs/>
          <w:lang w:val="en-GB"/>
        </w:rPr>
        <w:tab/>
        <w:t>Questions related to the Enquiry shall be sent to the e-mail address given in the contact details.</w:t>
      </w:r>
    </w:p>
    <w:p w14:paraId="22136231" w14:textId="494F2C73" w:rsidR="00B91005" w:rsidRDefault="00B91005" w:rsidP="00EF7E2C">
      <w:pPr>
        <w:spacing w:after="0"/>
        <w:ind w:left="709" w:hanging="425"/>
        <w:jc w:val="both"/>
        <w:rPr>
          <w:i/>
          <w:iCs/>
          <w:lang w:val="en-GB"/>
        </w:rPr>
      </w:pPr>
      <w:r w:rsidRPr="00B91005">
        <w:rPr>
          <w:i/>
          <w:iCs/>
          <w:lang w:val="en-GB"/>
        </w:rPr>
        <w:t>14.</w:t>
      </w:r>
      <w:r w:rsidRPr="00B91005">
        <w:rPr>
          <w:i/>
          <w:iCs/>
          <w:lang w:val="en-GB"/>
        </w:rPr>
        <w:tab/>
        <w:t>Gdansk University is not obliged to reimburse any Offerors’ costs associated with this enquiry.</w:t>
      </w:r>
    </w:p>
    <w:p w14:paraId="7379C95E" w14:textId="486A2FB3" w:rsidR="008C2A81" w:rsidRPr="008C2A81" w:rsidRDefault="008C2A81" w:rsidP="00EF7E2C">
      <w:pPr>
        <w:spacing w:after="0"/>
        <w:ind w:left="709" w:hanging="425"/>
        <w:jc w:val="both"/>
        <w:rPr>
          <w:i/>
          <w:iCs/>
          <w:lang w:val="en-GB"/>
        </w:rPr>
      </w:pPr>
      <w:r w:rsidRPr="008C2A81">
        <w:rPr>
          <w:i/>
          <w:iCs/>
          <w:lang w:val="en-GB"/>
        </w:rPr>
        <w:t>15.</w:t>
      </w:r>
      <w:r w:rsidRPr="008C2A81">
        <w:rPr>
          <w:i/>
          <w:iCs/>
          <w:lang w:val="en-GB"/>
        </w:rPr>
        <w:tab/>
        <w:t>The concluding of the Licence Agreement</w:t>
      </w:r>
      <w:r w:rsidR="009F5AE8">
        <w:rPr>
          <w:i/>
          <w:iCs/>
          <w:lang w:val="en-GB"/>
        </w:rPr>
        <w:t xml:space="preserve"> / Purchase of </w:t>
      </w:r>
      <w:r w:rsidR="00792B1D">
        <w:rPr>
          <w:i/>
          <w:iCs/>
          <w:lang w:val="en-GB"/>
        </w:rPr>
        <w:t xml:space="preserve">the </w:t>
      </w:r>
      <w:r w:rsidR="009F5AE8">
        <w:rPr>
          <w:i/>
          <w:iCs/>
          <w:lang w:val="en-GB"/>
        </w:rPr>
        <w:t>Technology Rights</w:t>
      </w:r>
      <w:r w:rsidRPr="008C2A81">
        <w:rPr>
          <w:i/>
          <w:iCs/>
          <w:lang w:val="en-GB"/>
        </w:rPr>
        <w:t xml:space="preserve"> is conditional upon the fulfilment of all procedures for the disposal of intangible assets as required by law with respect to universities.</w:t>
      </w:r>
    </w:p>
    <w:p w14:paraId="7D6913C9" w14:textId="23BD79B6" w:rsidR="008C2A81" w:rsidRDefault="008C2A81" w:rsidP="00EF7E2C">
      <w:pPr>
        <w:spacing w:after="0"/>
        <w:ind w:left="709" w:hanging="425"/>
        <w:jc w:val="both"/>
        <w:rPr>
          <w:i/>
          <w:iCs/>
          <w:lang w:val="en-GB"/>
        </w:rPr>
      </w:pPr>
      <w:r w:rsidRPr="008C2A81">
        <w:rPr>
          <w:i/>
          <w:iCs/>
          <w:lang w:val="en-GB"/>
        </w:rPr>
        <w:t>16.</w:t>
      </w:r>
      <w:r w:rsidRPr="008C2A81">
        <w:rPr>
          <w:i/>
          <w:iCs/>
          <w:lang w:val="en-GB"/>
        </w:rPr>
        <w:tab/>
        <w:t>Offerors are not entitled to make any claims against the University of Gdansk regarding the terms and conditions of this Enquiry or the selection of another Offeror.</w:t>
      </w:r>
    </w:p>
    <w:p w14:paraId="36F304FF" w14:textId="24138839" w:rsidR="009A5200" w:rsidRDefault="009A5200" w:rsidP="008C2A81">
      <w:pPr>
        <w:spacing w:after="0"/>
        <w:rPr>
          <w:i/>
          <w:iCs/>
          <w:lang w:val="en-GB"/>
        </w:rPr>
      </w:pPr>
    </w:p>
    <w:p w14:paraId="1C5DC787" w14:textId="1208D13C" w:rsidR="009A5200" w:rsidRPr="00FA6B16" w:rsidRDefault="0039419B" w:rsidP="00BF3AB3">
      <w:pPr>
        <w:pStyle w:val="Akapitzlist"/>
        <w:numPr>
          <w:ilvl w:val="0"/>
          <w:numId w:val="2"/>
        </w:numPr>
        <w:ind w:left="709" w:hanging="425"/>
        <w:rPr>
          <w:b/>
          <w:bCs/>
          <w:lang w:val="en-GB"/>
        </w:rPr>
      </w:pPr>
      <w:r w:rsidRPr="00FA6B16">
        <w:rPr>
          <w:b/>
          <w:bCs/>
          <w:lang w:val="en-GB"/>
        </w:rPr>
        <w:t xml:space="preserve">SPOSÓB SKŁADANIA OFERT / </w:t>
      </w:r>
      <w:r w:rsidR="001965E2" w:rsidRPr="0046740A">
        <w:rPr>
          <w:b/>
          <w:bCs/>
          <w:i/>
          <w:iCs/>
          <w:lang w:val="en-GB"/>
        </w:rPr>
        <w:t>THE WAY OF ENQUIRY SUBMITTING</w:t>
      </w:r>
    </w:p>
    <w:p w14:paraId="43BF4BD4" w14:textId="194FB85C" w:rsidR="001965E2" w:rsidRDefault="008F5FA7" w:rsidP="00166E36">
      <w:pPr>
        <w:spacing w:line="240" w:lineRule="auto"/>
        <w:jc w:val="both"/>
      </w:pPr>
      <w:r w:rsidRPr="008F5FA7">
        <w:t xml:space="preserve">Oferty należy składać w języku polskim lub angielskim w formie elektronicznej na adres </w:t>
      </w:r>
      <w:r w:rsidRPr="00EF60D7">
        <w:rPr>
          <w:b/>
          <w:bCs/>
        </w:rPr>
        <w:t>biuro@ctt.ug.edu.pl</w:t>
      </w:r>
      <w:r w:rsidRPr="008F5FA7">
        <w:t xml:space="preserve">, na </w:t>
      </w:r>
      <w:r w:rsidRPr="00EF60D7">
        <w:rPr>
          <w:b/>
          <w:bCs/>
        </w:rPr>
        <w:t xml:space="preserve">formularzu ofertowym stanowiącym Załącznik nr 1 do niniejszego </w:t>
      </w:r>
      <w:r w:rsidR="008E6AF0" w:rsidRPr="00EF60D7">
        <w:rPr>
          <w:b/>
          <w:bCs/>
        </w:rPr>
        <w:t>Z</w:t>
      </w:r>
      <w:r w:rsidRPr="00EF60D7">
        <w:rPr>
          <w:b/>
          <w:bCs/>
        </w:rPr>
        <w:t>aproszenia</w:t>
      </w:r>
      <w:r w:rsidRPr="008F5FA7">
        <w:t xml:space="preserve">. Oferta powinna być podpisana przez upoważnionych przedstawicieli Oferenta. Uniwersytet Gdański nie odpowiada za problemy techniczne związane z pocztą elektroniczną w zakresie warunków niniejszego </w:t>
      </w:r>
      <w:r w:rsidR="008E6AF0">
        <w:t>Z</w:t>
      </w:r>
      <w:r w:rsidRPr="008F5FA7">
        <w:t>aproszenia do składania ofert.</w:t>
      </w:r>
    </w:p>
    <w:p w14:paraId="23F8EE65" w14:textId="7DA04127" w:rsidR="00C5288D" w:rsidRDefault="00C5288D" w:rsidP="007E7586">
      <w:pPr>
        <w:spacing w:after="0" w:line="240" w:lineRule="auto"/>
        <w:jc w:val="both"/>
        <w:rPr>
          <w:i/>
          <w:iCs/>
          <w:lang w:val="en-GB"/>
        </w:rPr>
      </w:pPr>
      <w:r w:rsidRPr="000463B8">
        <w:rPr>
          <w:i/>
          <w:iCs/>
          <w:lang w:val="en-GB"/>
        </w:rPr>
        <w:t xml:space="preserve">Offers shall be submitted in Polish or English language, in an electronic form to the e-mail address </w:t>
      </w:r>
      <w:r w:rsidRPr="00E7278F">
        <w:rPr>
          <w:b/>
          <w:bCs/>
          <w:i/>
          <w:iCs/>
          <w:lang w:val="en-GB"/>
        </w:rPr>
        <w:t>biuro@ctt.ug.edu.pl</w:t>
      </w:r>
      <w:r w:rsidRPr="000463B8">
        <w:rPr>
          <w:i/>
          <w:iCs/>
          <w:lang w:val="en-GB"/>
        </w:rPr>
        <w:t xml:space="preserve"> on the </w:t>
      </w:r>
      <w:r w:rsidRPr="00E7278F">
        <w:rPr>
          <w:b/>
          <w:bCs/>
          <w:i/>
          <w:iCs/>
          <w:lang w:val="en-GB"/>
        </w:rPr>
        <w:t>Offer Form constituting Appendix No. 1 to this Enquiry</w:t>
      </w:r>
      <w:r w:rsidRPr="000463B8">
        <w:rPr>
          <w:i/>
          <w:iCs/>
          <w:lang w:val="en-GB"/>
        </w:rPr>
        <w:t>. The offer shall be signed by authorized representatives of the Offeror. The University of Gdansk is not responsible for technical problems related to e-mail within the terms of this Enquiry.</w:t>
      </w:r>
    </w:p>
    <w:p w14:paraId="07F07719" w14:textId="2F15AC5C" w:rsidR="00024A13" w:rsidRDefault="00024A13" w:rsidP="001965E2">
      <w:pPr>
        <w:spacing w:after="0"/>
        <w:rPr>
          <w:i/>
          <w:iCs/>
          <w:lang w:val="en-GB"/>
        </w:rPr>
      </w:pPr>
    </w:p>
    <w:p w14:paraId="0427A278" w14:textId="261047F3" w:rsidR="00A412D5" w:rsidRPr="0011773C" w:rsidRDefault="00CA4EB3" w:rsidP="00BF3AB3">
      <w:pPr>
        <w:pStyle w:val="Akapitzlist"/>
        <w:numPr>
          <w:ilvl w:val="0"/>
          <w:numId w:val="2"/>
        </w:numPr>
        <w:ind w:left="709" w:hanging="425"/>
        <w:rPr>
          <w:b/>
          <w:bCs/>
        </w:rPr>
      </w:pPr>
      <w:r w:rsidRPr="0011773C">
        <w:rPr>
          <w:b/>
          <w:bCs/>
        </w:rPr>
        <w:t xml:space="preserve">KONTAKT / </w:t>
      </w:r>
      <w:r w:rsidRPr="0046740A">
        <w:rPr>
          <w:b/>
          <w:bCs/>
          <w:i/>
          <w:iCs/>
        </w:rPr>
        <w:t>CONTACT</w:t>
      </w:r>
      <w:r w:rsidR="00A412D5" w:rsidRPr="0011773C">
        <w:rPr>
          <w:b/>
          <w:bCs/>
        </w:rPr>
        <w:br/>
      </w:r>
    </w:p>
    <w:p w14:paraId="425BF165" w14:textId="67990D6E" w:rsidR="00A412D5" w:rsidRPr="00D31712" w:rsidRDefault="00C67D4F" w:rsidP="00C67D4F">
      <w:pPr>
        <w:pStyle w:val="Akapitzlist"/>
        <w:tabs>
          <w:tab w:val="center" w:pos="709"/>
          <w:tab w:val="left" w:pos="7230"/>
          <w:tab w:val="right" w:pos="10404"/>
        </w:tabs>
        <w:spacing w:line="276" w:lineRule="auto"/>
        <w:jc w:val="center"/>
        <w:rPr>
          <w:rFonts w:ascii="Arial" w:eastAsia="Calibri" w:hAnsi="Arial" w:cs="Arial"/>
          <w:b/>
          <w:bCs/>
          <w:sz w:val="20"/>
          <w:szCs w:val="20"/>
          <w:lang w:val="en-GB"/>
        </w:rPr>
      </w:pPr>
      <w:r w:rsidRPr="00D31712">
        <w:rPr>
          <w:rFonts w:ascii="Arial" w:eastAsia="Calibri" w:hAnsi="Arial" w:cs="Arial"/>
          <w:b/>
          <w:bCs/>
          <w:sz w:val="20"/>
          <w:szCs w:val="20"/>
          <w:lang w:val="en-GB"/>
        </w:rPr>
        <w:t xml:space="preserve">Centrum Transferu Technologii / </w:t>
      </w:r>
      <w:r w:rsidR="00A412D5" w:rsidRPr="00D31712">
        <w:rPr>
          <w:rFonts w:ascii="Arial" w:eastAsia="Calibri" w:hAnsi="Arial" w:cs="Arial"/>
          <w:b/>
          <w:bCs/>
          <w:i/>
          <w:iCs/>
          <w:sz w:val="20"/>
          <w:szCs w:val="20"/>
          <w:lang w:val="en-GB"/>
        </w:rPr>
        <w:t>Technology Transfer Office</w:t>
      </w:r>
    </w:p>
    <w:p w14:paraId="5C488D5A" w14:textId="77777777" w:rsidR="00A412D5" w:rsidRPr="00A412D5" w:rsidRDefault="00A412D5" w:rsidP="00A412D5">
      <w:pPr>
        <w:tabs>
          <w:tab w:val="center" w:pos="709"/>
          <w:tab w:val="left" w:pos="7230"/>
          <w:tab w:val="right" w:pos="10404"/>
        </w:tabs>
        <w:spacing w:after="0" w:line="276" w:lineRule="auto"/>
        <w:ind w:left="360"/>
        <w:jc w:val="center"/>
        <w:rPr>
          <w:rFonts w:ascii="Arial" w:eastAsia="Calibri" w:hAnsi="Arial" w:cs="Arial"/>
          <w:sz w:val="20"/>
          <w:szCs w:val="20"/>
        </w:rPr>
      </w:pPr>
      <w:r w:rsidRPr="00A412D5">
        <w:rPr>
          <w:rFonts w:ascii="Arial" w:eastAsia="Calibri" w:hAnsi="Arial" w:cs="Arial"/>
          <w:sz w:val="20"/>
          <w:szCs w:val="20"/>
        </w:rPr>
        <w:t>Ul. Bażyńskiego 1A</w:t>
      </w:r>
    </w:p>
    <w:p w14:paraId="6663917B" w14:textId="75A513E4" w:rsidR="00A412D5" w:rsidRDefault="00A412D5" w:rsidP="00A412D5">
      <w:pPr>
        <w:tabs>
          <w:tab w:val="center" w:pos="709"/>
          <w:tab w:val="left" w:pos="7230"/>
          <w:tab w:val="right" w:pos="10404"/>
        </w:tabs>
        <w:spacing w:after="0" w:line="276" w:lineRule="auto"/>
        <w:ind w:left="360"/>
        <w:jc w:val="center"/>
        <w:rPr>
          <w:rFonts w:ascii="Arial" w:eastAsia="Calibri" w:hAnsi="Arial" w:cs="Arial"/>
          <w:sz w:val="20"/>
          <w:szCs w:val="20"/>
        </w:rPr>
      </w:pPr>
      <w:r w:rsidRPr="00A412D5">
        <w:rPr>
          <w:rFonts w:ascii="Arial" w:eastAsia="Calibri" w:hAnsi="Arial" w:cs="Arial"/>
          <w:sz w:val="20"/>
          <w:szCs w:val="20"/>
        </w:rPr>
        <w:t>80-309 Gdańsk</w:t>
      </w:r>
    </w:p>
    <w:p w14:paraId="58F91759" w14:textId="26D416D5" w:rsidR="00C67D4F" w:rsidRPr="00A412D5" w:rsidRDefault="00C67D4F" w:rsidP="00A412D5">
      <w:pPr>
        <w:tabs>
          <w:tab w:val="center" w:pos="709"/>
          <w:tab w:val="left" w:pos="7230"/>
          <w:tab w:val="right" w:pos="10404"/>
        </w:tabs>
        <w:spacing w:after="0" w:line="276" w:lineRule="auto"/>
        <w:ind w:left="360"/>
        <w:jc w:val="center"/>
        <w:rPr>
          <w:rFonts w:ascii="Arial" w:eastAsia="Calibri" w:hAnsi="Arial" w:cs="Arial"/>
          <w:sz w:val="20"/>
          <w:szCs w:val="20"/>
        </w:rPr>
      </w:pPr>
      <w:r>
        <w:rPr>
          <w:rFonts w:ascii="Arial" w:eastAsia="Calibri" w:hAnsi="Arial" w:cs="Arial"/>
          <w:sz w:val="20"/>
          <w:szCs w:val="20"/>
        </w:rPr>
        <w:t>Polska / Poland</w:t>
      </w:r>
    </w:p>
    <w:p w14:paraId="14D10915" w14:textId="77777777" w:rsidR="00A412D5" w:rsidRPr="00FA6B16" w:rsidRDefault="00A412D5" w:rsidP="00A412D5">
      <w:pPr>
        <w:tabs>
          <w:tab w:val="center" w:pos="709"/>
          <w:tab w:val="left" w:pos="7230"/>
          <w:tab w:val="right" w:pos="10404"/>
        </w:tabs>
        <w:spacing w:after="0" w:line="276" w:lineRule="auto"/>
        <w:ind w:left="360"/>
        <w:jc w:val="center"/>
        <w:rPr>
          <w:rFonts w:ascii="Arial" w:eastAsia="Calibri" w:hAnsi="Arial" w:cs="Arial"/>
          <w:sz w:val="20"/>
          <w:szCs w:val="20"/>
          <w:lang w:val="en-GB"/>
        </w:rPr>
      </w:pPr>
      <w:r w:rsidRPr="00FA6B16">
        <w:rPr>
          <w:rFonts w:ascii="Arial" w:eastAsia="Calibri" w:hAnsi="Arial" w:cs="Arial"/>
          <w:sz w:val="20"/>
          <w:szCs w:val="20"/>
          <w:lang w:val="en-GB"/>
        </w:rPr>
        <w:t>Tel.: +48 58 523 33 74</w:t>
      </w:r>
    </w:p>
    <w:p w14:paraId="32562599" w14:textId="77777777" w:rsidR="00A412D5" w:rsidRPr="00A412D5" w:rsidRDefault="00A412D5" w:rsidP="00A412D5">
      <w:pPr>
        <w:tabs>
          <w:tab w:val="center" w:pos="709"/>
          <w:tab w:val="left" w:pos="7230"/>
          <w:tab w:val="right" w:pos="10404"/>
        </w:tabs>
        <w:spacing w:after="0" w:line="276" w:lineRule="auto"/>
        <w:ind w:left="360"/>
        <w:jc w:val="center"/>
        <w:rPr>
          <w:rFonts w:ascii="Arial" w:eastAsia="Calibri" w:hAnsi="Arial" w:cs="Arial"/>
          <w:sz w:val="20"/>
          <w:szCs w:val="20"/>
          <w:lang w:val="en-GB"/>
        </w:rPr>
      </w:pPr>
      <w:r w:rsidRPr="00A412D5">
        <w:rPr>
          <w:rFonts w:ascii="Arial" w:eastAsia="Calibri" w:hAnsi="Arial" w:cs="Arial"/>
          <w:sz w:val="20"/>
          <w:szCs w:val="20"/>
          <w:lang w:val="en-GB"/>
        </w:rPr>
        <w:t xml:space="preserve">e-mail: </w:t>
      </w:r>
      <w:hyperlink r:id="rId8" w:history="1">
        <w:r w:rsidRPr="00A412D5">
          <w:rPr>
            <w:rStyle w:val="Hipercze"/>
            <w:rFonts w:ascii="Arial" w:eastAsia="Calibri" w:hAnsi="Arial" w:cs="Arial"/>
            <w:sz w:val="20"/>
            <w:szCs w:val="20"/>
            <w:lang w:val="en-GB"/>
          </w:rPr>
          <w:t>biuro@ctt.ug.edu.pl</w:t>
        </w:r>
      </w:hyperlink>
    </w:p>
    <w:p w14:paraId="3692F399" w14:textId="7346F6AE" w:rsidR="00A412D5" w:rsidRPr="00A4037C" w:rsidRDefault="00F92E0A" w:rsidP="00A4037C">
      <w:pPr>
        <w:tabs>
          <w:tab w:val="center" w:pos="709"/>
          <w:tab w:val="left" w:pos="7230"/>
          <w:tab w:val="right" w:pos="10404"/>
        </w:tabs>
        <w:spacing w:after="0" w:line="276" w:lineRule="auto"/>
        <w:ind w:left="360"/>
        <w:jc w:val="center"/>
        <w:rPr>
          <w:rFonts w:ascii="Arial" w:eastAsia="Calibri" w:hAnsi="Arial" w:cs="Arial"/>
          <w:sz w:val="20"/>
          <w:szCs w:val="20"/>
          <w:lang w:val="en-GB"/>
        </w:rPr>
      </w:pPr>
      <w:hyperlink r:id="rId9" w:history="1">
        <w:r w:rsidR="00A412D5" w:rsidRPr="00A412D5">
          <w:rPr>
            <w:rStyle w:val="Hipercze"/>
            <w:rFonts w:ascii="Arial" w:eastAsia="Calibri" w:hAnsi="Arial" w:cs="Arial"/>
            <w:sz w:val="20"/>
            <w:szCs w:val="20"/>
            <w:lang w:val="en-GB"/>
          </w:rPr>
          <w:t>https://ctt.ug.edu.pl/</w:t>
        </w:r>
      </w:hyperlink>
    </w:p>
    <w:sectPr w:rsidR="00A412D5" w:rsidRPr="00A4037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480C1" w14:textId="77777777" w:rsidR="000E618B" w:rsidRDefault="000E618B" w:rsidP="000E618B">
      <w:pPr>
        <w:spacing w:after="0" w:line="240" w:lineRule="auto"/>
      </w:pPr>
      <w:r>
        <w:separator/>
      </w:r>
    </w:p>
  </w:endnote>
  <w:endnote w:type="continuationSeparator" w:id="0">
    <w:p w14:paraId="2DFC3F1A" w14:textId="77777777" w:rsidR="000E618B" w:rsidRDefault="000E618B" w:rsidP="000E6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F2E4" w14:textId="77777777" w:rsidR="00725AAF" w:rsidRPr="00897597" w:rsidRDefault="00725AAF" w:rsidP="00725AAF">
    <w:pPr>
      <w:pStyle w:val="Podstawowyakapit"/>
      <w:spacing w:line="240" w:lineRule="auto"/>
      <w:rPr>
        <w:rFonts w:ascii="Arial" w:hAnsi="Arial" w:cs="Arial"/>
        <w:color w:val="0041D2"/>
        <w:sz w:val="16"/>
        <w:szCs w:val="16"/>
        <w:lang w:val="en-US"/>
      </w:rPr>
    </w:pPr>
    <w:r w:rsidRPr="00CA69BD">
      <w:rPr>
        <w:rFonts w:ascii="Arial" w:hAnsi="Arial" w:cs="Arial"/>
        <w:noProof/>
        <w:color w:val="0041D2"/>
        <w:sz w:val="16"/>
        <w:szCs w:val="16"/>
        <w:lang w:eastAsia="pl-PL"/>
      </w:rPr>
      <w:drawing>
        <wp:inline distT="0" distB="0" distL="0" distR="0" wp14:anchorId="5B3BFC18" wp14:editId="2742F98A">
          <wp:extent cx="1054100" cy="76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54100" cy="76200"/>
                  </a:xfrm>
                  <a:prstGeom prst="rect">
                    <a:avLst/>
                  </a:prstGeom>
                </pic:spPr>
              </pic:pic>
            </a:graphicData>
          </a:graphic>
        </wp:inline>
      </w:drawing>
    </w:r>
    <w:r>
      <w:rPr>
        <w:rFonts w:ascii="Arial" w:hAnsi="Arial" w:cs="Arial"/>
        <w:color w:val="0041D2"/>
        <w:sz w:val="16"/>
        <w:szCs w:val="16"/>
        <w:lang w:val="en-US"/>
      </w:rPr>
      <w:br/>
    </w:r>
    <w:r>
      <w:rPr>
        <w:rFonts w:ascii="Arial" w:hAnsi="Arial" w:cs="Arial"/>
        <w:color w:val="0041D2"/>
        <w:sz w:val="16"/>
        <w:szCs w:val="16"/>
        <w:lang w:val="en-US"/>
      </w:rPr>
      <w:br/>
    </w:r>
  </w:p>
  <w:tbl>
    <w:tblPr>
      <w:tblW w:w="97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3"/>
      <w:gridCol w:w="3933"/>
      <w:gridCol w:w="2359"/>
      <w:gridCol w:w="1210"/>
    </w:tblGrid>
    <w:tr w:rsidR="00725AAF" w:rsidRPr="00827226" w14:paraId="10B06C6B" w14:textId="77777777" w:rsidTr="00D328B5">
      <w:trPr>
        <w:trHeight w:val="179"/>
      </w:trPr>
      <w:tc>
        <w:tcPr>
          <w:tcW w:w="22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9EE8BF" w14:textId="77777777" w:rsidR="00725AAF" w:rsidRDefault="00725AAF" w:rsidP="00725AAF">
          <w:pPr>
            <w:pStyle w:val="Stopka"/>
            <w:ind w:left="-15"/>
            <w:rPr>
              <w:rFonts w:ascii="Arial" w:hAnsi="Arial" w:cs="Arial"/>
              <w:b/>
              <w:bCs/>
              <w:color w:val="0041D2"/>
              <w:sz w:val="16"/>
              <w:szCs w:val="16"/>
            </w:rPr>
          </w:pPr>
          <w:r>
            <w:rPr>
              <w:rFonts w:ascii="Arial" w:hAnsi="Arial" w:cs="Arial"/>
              <w:b/>
              <w:bCs/>
              <w:color w:val="0041D2"/>
              <w:sz w:val="16"/>
              <w:szCs w:val="16"/>
            </w:rPr>
            <w:t>Centrum Transferu Technologii</w:t>
          </w:r>
        </w:p>
      </w:tc>
      <w:tc>
        <w:tcPr>
          <w:tcW w:w="39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53D202" w14:textId="77777777" w:rsidR="00725AAF" w:rsidRPr="00827226" w:rsidRDefault="00725AAF" w:rsidP="00725AAF">
          <w:pPr>
            <w:pStyle w:val="Podstawowyakapit"/>
            <w:rPr>
              <w:rFonts w:ascii="Arial" w:hAnsi="Arial" w:cs="Arial"/>
              <w:color w:val="0041D2"/>
              <w:sz w:val="16"/>
              <w:szCs w:val="16"/>
              <w:lang w:val="en-US"/>
            </w:rPr>
          </w:pPr>
          <w:r w:rsidRPr="00827226">
            <w:rPr>
              <w:rFonts w:ascii="Arial" w:hAnsi="Arial" w:cs="Arial"/>
              <w:color w:val="0041D2"/>
              <w:sz w:val="16"/>
              <w:szCs w:val="16"/>
              <w:lang w:val="en-US"/>
            </w:rPr>
            <w:t>tel. +48</w:t>
          </w:r>
          <w:r>
            <w:rPr>
              <w:rFonts w:ascii="Arial" w:hAnsi="Arial" w:cs="Arial"/>
              <w:color w:val="0041D2"/>
              <w:sz w:val="16"/>
              <w:szCs w:val="16"/>
              <w:lang w:val="en-US"/>
            </w:rPr>
            <w:t> 523 33 74</w:t>
          </w:r>
          <w:r w:rsidRPr="00827226">
            <w:rPr>
              <w:rFonts w:ascii="Arial" w:hAnsi="Arial" w:cs="Arial"/>
              <w:color w:val="0041D2"/>
              <w:sz w:val="16"/>
              <w:szCs w:val="16"/>
              <w:lang w:val="en-US"/>
            </w:rPr>
            <w:t xml:space="preserve"> </w:t>
          </w:r>
        </w:p>
        <w:p w14:paraId="0CAC82DA" w14:textId="77777777" w:rsidR="00725AAF" w:rsidRPr="00827226" w:rsidRDefault="00725AAF" w:rsidP="00725AAF">
          <w:pPr>
            <w:pStyle w:val="Stopka"/>
            <w:ind w:left="-15"/>
            <w:rPr>
              <w:rFonts w:ascii="Arial" w:hAnsi="Arial" w:cs="Arial"/>
              <w:b/>
              <w:bCs/>
              <w:color w:val="0041D2"/>
              <w:sz w:val="16"/>
              <w:szCs w:val="16"/>
              <w:lang w:val="en-US"/>
            </w:rPr>
          </w:pPr>
          <w:r w:rsidRPr="00827226">
            <w:rPr>
              <w:rFonts w:ascii="Arial" w:hAnsi="Arial" w:cs="Arial"/>
              <w:color w:val="0041D2"/>
              <w:sz w:val="16"/>
              <w:szCs w:val="16"/>
              <w:lang w:val="en-US"/>
            </w:rPr>
            <w:t xml:space="preserve">e-mail: </w:t>
          </w:r>
          <w:r>
            <w:rPr>
              <w:rFonts w:ascii="Arial" w:hAnsi="Arial" w:cs="Arial"/>
              <w:color w:val="0041D2"/>
              <w:sz w:val="16"/>
              <w:szCs w:val="16"/>
              <w:lang w:val="en-US"/>
            </w:rPr>
            <w:t>biuro</w:t>
          </w:r>
          <w:r w:rsidRPr="00827226">
            <w:rPr>
              <w:rFonts w:ascii="Arial" w:hAnsi="Arial" w:cs="Arial"/>
              <w:color w:val="0041D2"/>
              <w:sz w:val="16"/>
              <w:szCs w:val="16"/>
              <w:lang w:val="en-US"/>
            </w:rPr>
            <w:t>@ug.edu.pl</w:t>
          </w:r>
        </w:p>
      </w:tc>
      <w:tc>
        <w:tcPr>
          <w:tcW w:w="23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249CCB" w14:textId="77777777" w:rsidR="00725AAF" w:rsidRDefault="00725AAF" w:rsidP="00725AAF">
          <w:pPr>
            <w:pStyle w:val="Podstawowyakapit"/>
            <w:rPr>
              <w:rFonts w:ascii="Arial" w:hAnsi="Arial" w:cs="Arial"/>
              <w:color w:val="0041D2"/>
              <w:sz w:val="16"/>
              <w:szCs w:val="16"/>
            </w:rPr>
          </w:pPr>
          <w:r>
            <w:rPr>
              <w:rFonts w:ascii="Arial" w:hAnsi="Arial" w:cs="Arial"/>
              <w:color w:val="0041D2"/>
              <w:sz w:val="16"/>
              <w:szCs w:val="16"/>
            </w:rPr>
            <w:t>ul. Bażyńskiego 1a</w:t>
          </w:r>
        </w:p>
        <w:p w14:paraId="049FE90C" w14:textId="77777777" w:rsidR="00725AAF" w:rsidRPr="00827226" w:rsidRDefault="00725AAF" w:rsidP="00725AAF">
          <w:pPr>
            <w:pStyle w:val="Stopka"/>
            <w:ind w:left="-15"/>
            <w:rPr>
              <w:rFonts w:ascii="Arial" w:hAnsi="Arial" w:cs="Arial"/>
              <w:b/>
              <w:bCs/>
              <w:color w:val="0041D2"/>
              <w:sz w:val="16"/>
              <w:szCs w:val="16"/>
              <w:lang w:val="en-US"/>
            </w:rPr>
          </w:pPr>
          <w:r>
            <w:rPr>
              <w:rFonts w:ascii="Arial" w:hAnsi="Arial" w:cs="Arial"/>
              <w:color w:val="0041D2"/>
              <w:sz w:val="16"/>
              <w:szCs w:val="16"/>
            </w:rPr>
            <w:t>80-309 Gdańsk</w:t>
          </w:r>
        </w:p>
      </w:tc>
      <w:tc>
        <w:tcPr>
          <w:tcW w:w="12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BC27E9" w14:textId="77777777" w:rsidR="00725AAF" w:rsidRDefault="00725AAF" w:rsidP="00725AAF">
          <w:pPr>
            <w:pStyle w:val="Podstawowyakapit"/>
            <w:jc w:val="right"/>
            <w:rPr>
              <w:rFonts w:ascii="Arial" w:hAnsi="Arial" w:cs="Arial"/>
              <w:color w:val="0041D2"/>
              <w:sz w:val="16"/>
              <w:szCs w:val="16"/>
            </w:rPr>
          </w:pPr>
          <w:r>
            <w:rPr>
              <w:rFonts w:ascii="Arial" w:hAnsi="Arial" w:cs="Arial"/>
              <w:color w:val="0041D2"/>
              <w:sz w:val="16"/>
              <w:szCs w:val="16"/>
            </w:rPr>
            <w:t>www.ug.edu.pl</w:t>
          </w:r>
        </w:p>
        <w:p w14:paraId="1E53D21D" w14:textId="77777777" w:rsidR="00725AAF" w:rsidRPr="00827226" w:rsidRDefault="00725AAF" w:rsidP="00725AAF">
          <w:pPr>
            <w:pStyle w:val="Stopka"/>
            <w:rPr>
              <w:rFonts w:ascii="Arial" w:hAnsi="Arial" w:cs="Arial"/>
              <w:b/>
              <w:bCs/>
              <w:color w:val="0041D2"/>
              <w:sz w:val="16"/>
              <w:szCs w:val="16"/>
              <w:lang w:val="en-US"/>
            </w:rPr>
          </w:pPr>
        </w:p>
      </w:tc>
    </w:tr>
  </w:tbl>
  <w:p w14:paraId="2934C0B7" w14:textId="77777777" w:rsidR="00725AAF" w:rsidRDefault="00725A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D8C18" w14:textId="77777777" w:rsidR="000E618B" w:rsidRDefault="000E618B" w:rsidP="000E618B">
      <w:pPr>
        <w:spacing w:after="0" w:line="240" w:lineRule="auto"/>
      </w:pPr>
      <w:r>
        <w:separator/>
      </w:r>
    </w:p>
  </w:footnote>
  <w:footnote w:type="continuationSeparator" w:id="0">
    <w:p w14:paraId="7CADED09" w14:textId="77777777" w:rsidR="000E618B" w:rsidRDefault="000E618B" w:rsidP="000E6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8815"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24"/>
      <w:gridCol w:w="1791"/>
    </w:tblGrid>
    <w:tr w:rsidR="000E618B" w:rsidRPr="00D71D31" w14:paraId="5EBCAFE3" w14:textId="77777777" w:rsidTr="000E618B">
      <w:trPr>
        <w:trHeight w:val="773"/>
      </w:trPr>
      <w:tc>
        <w:tcPr>
          <w:tcW w:w="7024" w:type="dxa"/>
        </w:tcPr>
        <w:p w14:paraId="7B4D5B78" w14:textId="77777777" w:rsidR="000E618B" w:rsidRDefault="000E618B" w:rsidP="000E618B">
          <w:pPr>
            <w:pStyle w:val="Nagwek"/>
            <w:rPr>
              <w:noProof/>
            </w:rPr>
          </w:pPr>
          <w:r>
            <w:rPr>
              <w:noProof/>
              <w:lang w:eastAsia="pl-PL"/>
            </w:rPr>
            <w:drawing>
              <wp:inline distT="0" distB="0" distL="0" distR="0" wp14:anchorId="07B48936" wp14:editId="340085C1">
                <wp:extent cx="3582718" cy="616544"/>
                <wp:effectExtent l="0" t="0" r="0" b="635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rotWithShape="1">
                        <a:blip r:embed="rId1">
                          <a:extLst>
                            <a:ext uri="{28A0092B-C50C-407E-A947-70E740481C1C}">
                              <a14:useLocalDpi xmlns:a14="http://schemas.microsoft.com/office/drawing/2010/main" val="0"/>
                            </a:ext>
                          </a:extLst>
                        </a:blip>
                        <a:srcRect l="13033" t="32427" r="12941" b="30954"/>
                        <a:stretch/>
                      </pic:blipFill>
                      <pic:spPr bwMode="auto">
                        <a:xfrm>
                          <a:off x="0" y="0"/>
                          <a:ext cx="3675908" cy="632581"/>
                        </a:xfrm>
                        <a:prstGeom prst="rect">
                          <a:avLst/>
                        </a:prstGeom>
                        <a:ln>
                          <a:noFill/>
                        </a:ln>
                        <a:extLst>
                          <a:ext uri="{53640926-AAD7-44D8-BBD7-CCE9431645EC}">
                            <a14:shadowObscured xmlns:a14="http://schemas.microsoft.com/office/drawing/2010/main"/>
                          </a:ext>
                        </a:extLst>
                      </pic:spPr>
                    </pic:pic>
                  </a:graphicData>
                </a:graphic>
              </wp:inline>
            </w:drawing>
          </w:r>
        </w:p>
      </w:tc>
      <w:tc>
        <w:tcPr>
          <w:tcW w:w="1791" w:type="dxa"/>
        </w:tcPr>
        <w:p w14:paraId="61BB0506" w14:textId="77777777" w:rsidR="000E618B" w:rsidRPr="00D71D31" w:rsidRDefault="000E618B" w:rsidP="000E618B">
          <w:pPr>
            <w:pStyle w:val="Nagwek"/>
            <w:jc w:val="right"/>
            <w:rPr>
              <w:noProof/>
            </w:rPr>
          </w:pPr>
        </w:p>
      </w:tc>
    </w:tr>
  </w:tbl>
  <w:p w14:paraId="5D92370B" w14:textId="77777777" w:rsidR="000E618B" w:rsidRDefault="000E618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A0B12"/>
    <w:multiLevelType w:val="hybridMultilevel"/>
    <w:tmpl w:val="E2264B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7720431"/>
    <w:multiLevelType w:val="hybridMultilevel"/>
    <w:tmpl w:val="0AA4B79C"/>
    <w:lvl w:ilvl="0" w:tplc="04150013">
      <w:start w:val="1"/>
      <w:numFmt w:val="upperRoman"/>
      <w:lvlText w:val="%1."/>
      <w:lvlJc w:val="righ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4875103">
    <w:abstractNumId w:val="0"/>
  </w:num>
  <w:num w:numId="2" w16cid:durableId="1811898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8A1"/>
    <w:rsid w:val="0000312B"/>
    <w:rsid w:val="000061EC"/>
    <w:rsid w:val="00024A13"/>
    <w:rsid w:val="00024D1F"/>
    <w:rsid w:val="00037BB2"/>
    <w:rsid w:val="000435C1"/>
    <w:rsid w:val="000463B8"/>
    <w:rsid w:val="0005040E"/>
    <w:rsid w:val="00063BFB"/>
    <w:rsid w:val="000E618B"/>
    <w:rsid w:val="0011773C"/>
    <w:rsid w:val="0014479C"/>
    <w:rsid w:val="001531BF"/>
    <w:rsid w:val="00166E36"/>
    <w:rsid w:val="00172BE4"/>
    <w:rsid w:val="0018324F"/>
    <w:rsid w:val="0019436E"/>
    <w:rsid w:val="001965E2"/>
    <w:rsid w:val="001D094C"/>
    <w:rsid w:val="001D6F8D"/>
    <w:rsid w:val="00253134"/>
    <w:rsid w:val="00283EDF"/>
    <w:rsid w:val="002D349C"/>
    <w:rsid w:val="00366839"/>
    <w:rsid w:val="00387084"/>
    <w:rsid w:val="0039419B"/>
    <w:rsid w:val="0039646E"/>
    <w:rsid w:val="003B22BE"/>
    <w:rsid w:val="003C1F3A"/>
    <w:rsid w:val="003F69F1"/>
    <w:rsid w:val="004150E6"/>
    <w:rsid w:val="004523A3"/>
    <w:rsid w:val="0046740A"/>
    <w:rsid w:val="00537295"/>
    <w:rsid w:val="005A6896"/>
    <w:rsid w:val="005C4E28"/>
    <w:rsid w:val="00605CE1"/>
    <w:rsid w:val="00644C6D"/>
    <w:rsid w:val="00666009"/>
    <w:rsid w:val="00667DCC"/>
    <w:rsid w:val="00686671"/>
    <w:rsid w:val="0068704C"/>
    <w:rsid w:val="006F0324"/>
    <w:rsid w:val="00700826"/>
    <w:rsid w:val="00725AAF"/>
    <w:rsid w:val="007263D6"/>
    <w:rsid w:val="00757560"/>
    <w:rsid w:val="00792B1D"/>
    <w:rsid w:val="007C2B0A"/>
    <w:rsid w:val="007D5156"/>
    <w:rsid w:val="007D5311"/>
    <w:rsid w:val="007E7586"/>
    <w:rsid w:val="007F608A"/>
    <w:rsid w:val="00822B44"/>
    <w:rsid w:val="00824C95"/>
    <w:rsid w:val="00894FF7"/>
    <w:rsid w:val="008C2A81"/>
    <w:rsid w:val="008D4138"/>
    <w:rsid w:val="008E6AF0"/>
    <w:rsid w:val="008F21A8"/>
    <w:rsid w:val="008F38A1"/>
    <w:rsid w:val="008F5FA7"/>
    <w:rsid w:val="00940884"/>
    <w:rsid w:val="00941B3D"/>
    <w:rsid w:val="0096731A"/>
    <w:rsid w:val="00991447"/>
    <w:rsid w:val="009A190C"/>
    <w:rsid w:val="009A5200"/>
    <w:rsid w:val="009D44D2"/>
    <w:rsid w:val="009E174E"/>
    <w:rsid w:val="009E2129"/>
    <w:rsid w:val="009F5AE8"/>
    <w:rsid w:val="00A02C57"/>
    <w:rsid w:val="00A3461B"/>
    <w:rsid w:val="00A4037C"/>
    <w:rsid w:val="00A412D5"/>
    <w:rsid w:val="00A55B93"/>
    <w:rsid w:val="00A654D2"/>
    <w:rsid w:val="00A747A0"/>
    <w:rsid w:val="00A9256F"/>
    <w:rsid w:val="00AB0020"/>
    <w:rsid w:val="00AD4F96"/>
    <w:rsid w:val="00B228DF"/>
    <w:rsid w:val="00B46116"/>
    <w:rsid w:val="00B65973"/>
    <w:rsid w:val="00B91005"/>
    <w:rsid w:val="00B91765"/>
    <w:rsid w:val="00BF3AB3"/>
    <w:rsid w:val="00BF5752"/>
    <w:rsid w:val="00C029D8"/>
    <w:rsid w:val="00C14A82"/>
    <w:rsid w:val="00C5288D"/>
    <w:rsid w:val="00C67D4F"/>
    <w:rsid w:val="00C74B04"/>
    <w:rsid w:val="00CA1B43"/>
    <w:rsid w:val="00CA4EB3"/>
    <w:rsid w:val="00CC0FB9"/>
    <w:rsid w:val="00CD29EF"/>
    <w:rsid w:val="00D0401E"/>
    <w:rsid w:val="00D278B8"/>
    <w:rsid w:val="00D31712"/>
    <w:rsid w:val="00D44001"/>
    <w:rsid w:val="00D81799"/>
    <w:rsid w:val="00DC7C09"/>
    <w:rsid w:val="00DD4CFD"/>
    <w:rsid w:val="00DD5191"/>
    <w:rsid w:val="00DF1DE7"/>
    <w:rsid w:val="00DF5577"/>
    <w:rsid w:val="00E22D3B"/>
    <w:rsid w:val="00E35B58"/>
    <w:rsid w:val="00E57564"/>
    <w:rsid w:val="00E57764"/>
    <w:rsid w:val="00E7278F"/>
    <w:rsid w:val="00EA06E5"/>
    <w:rsid w:val="00EB363C"/>
    <w:rsid w:val="00EC46E3"/>
    <w:rsid w:val="00EC7755"/>
    <w:rsid w:val="00EC7E08"/>
    <w:rsid w:val="00EF1CAF"/>
    <w:rsid w:val="00EF60D7"/>
    <w:rsid w:val="00EF7E2C"/>
    <w:rsid w:val="00F21751"/>
    <w:rsid w:val="00F336CF"/>
    <w:rsid w:val="00F92E0A"/>
    <w:rsid w:val="00FA6B16"/>
    <w:rsid w:val="00FE7058"/>
    <w:rsid w:val="00FF7A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09E53EF"/>
  <w15:chartTrackingRefBased/>
  <w15:docId w15:val="{EEE1524A-1ABF-4EEA-BD83-C04BBF7C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9256F"/>
    <w:pPr>
      <w:ind w:left="720"/>
      <w:contextualSpacing/>
    </w:pPr>
  </w:style>
  <w:style w:type="character" w:styleId="Hipercze">
    <w:name w:val="Hyperlink"/>
    <w:basedOn w:val="Domylnaczcionkaakapitu"/>
    <w:uiPriority w:val="99"/>
    <w:unhideWhenUsed/>
    <w:rsid w:val="00A412D5"/>
    <w:rPr>
      <w:color w:val="0563C1" w:themeColor="hyperlink"/>
      <w:u w:val="single"/>
    </w:rPr>
  </w:style>
  <w:style w:type="paragraph" w:styleId="Nagwek">
    <w:name w:val="header"/>
    <w:basedOn w:val="Normalny"/>
    <w:link w:val="NagwekZnak"/>
    <w:uiPriority w:val="99"/>
    <w:unhideWhenUsed/>
    <w:rsid w:val="00BF3AB3"/>
    <w:pPr>
      <w:tabs>
        <w:tab w:val="center" w:pos="4536"/>
        <w:tab w:val="right" w:pos="9072"/>
      </w:tabs>
      <w:spacing w:after="0" w:line="240" w:lineRule="auto"/>
    </w:pPr>
    <w:rPr>
      <w:sz w:val="24"/>
      <w:szCs w:val="24"/>
    </w:rPr>
  </w:style>
  <w:style w:type="character" w:customStyle="1" w:styleId="NagwekZnak">
    <w:name w:val="Nagłówek Znak"/>
    <w:basedOn w:val="Domylnaczcionkaakapitu"/>
    <w:link w:val="Nagwek"/>
    <w:uiPriority w:val="99"/>
    <w:rsid w:val="00BF3AB3"/>
    <w:rPr>
      <w:sz w:val="24"/>
      <w:szCs w:val="24"/>
    </w:rPr>
  </w:style>
  <w:style w:type="paragraph" w:customStyle="1" w:styleId="Podstawowyakapit">
    <w:name w:val="[Podstawowy akapit]"/>
    <w:basedOn w:val="Normalny"/>
    <w:uiPriority w:val="99"/>
    <w:rsid w:val="00BF3AB3"/>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Stopka">
    <w:name w:val="footer"/>
    <w:basedOn w:val="Normalny"/>
    <w:link w:val="StopkaZnak"/>
    <w:uiPriority w:val="99"/>
    <w:unhideWhenUsed/>
    <w:rsid w:val="000E6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618B"/>
  </w:style>
  <w:style w:type="table" w:styleId="Tabela-Siatka">
    <w:name w:val="Table Grid"/>
    <w:basedOn w:val="Standardowy"/>
    <w:uiPriority w:val="39"/>
    <w:rsid w:val="000E61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69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ctt.ug.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tt.ug.edu.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95918-2E54-4CEE-ACFC-02F754C40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1605</Words>
  <Characters>9634</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Arleta Ruszel</dc:creator>
  <cp:keywords/>
  <dc:description/>
  <cp:lastModifiedBy>Małgorzata Białkowska</cp:lastModifiedBy>
  <cp:revision>2</cp:revision>
  <dcterms:created xsi:type="dcterms:W3CDTF">2023-11-14T13:14:00Z</dcterms:created>
  <dcterms:modified xsi:type="dcterms:W3CDTF">2023-11-14T13:14:00Z</dcterms:modified>
</cp:coreProperties>
</file>